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bmp" ContentType="image/bmp"/>
  <Default Extension="jpeg" ContentType="image/jpeg"/>
  <Default Extension="png" ContentType="image/png"/>
  <Default Extension="gif" ContentType="image/gif"/>
  <Default Extension="tif" ContentType="image/tif"/>
  <Default Extension="emf" ContentType="image/x-emf"/>
  <Default Extension="wmf" ContentType="image/x-wmf"/>
  <Default Extension="pct" ContentType="image/pct"/>
  <Default Extension="pcx" ContentType="image/pcx"/>
  <Default Extension="tga" ContentType="image/tga"/>
  <Default Extension="svg" ContentType="image/svg+xml"/>
  <Default Extension="webp" ContentType="image/png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 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body>
    <w:p>
      <w:pPr>
        <w:ind w:left="142" w:hanging="142"/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Паспорт </w:t>
      </w:r>
    </w:p>
    <w:p>
      <w:pPr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инвестиционной площадки</w:t>
      </w:r>
    </w:p>
    <w:p>
      <w:pPr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Анжеро-Судженск, площадка </w:t>
      </w:r>
      <w:r>
        <w:rPr>
          <w:rFonts w:ascii="Times New Roman" w:hAnsi="Times New Roman"/>
          <w:b/>
          <w:sz w:val="28"/>
        </w:rPr>
        <w:t>ликвидированного промышленного предприятия</w:t>
      </w:r>
      <w:r>
        <w:rPr>
          <w:rFonts w:ascii="Times New Roman" w:hAnsi="Times New Roman"/>
          <w:b/>
          <w:sz w:val="28"/>
        </w:rPr>
      </w:r>
    </w:p>
    <w:p>
      <w:pPr>
        <w:spacing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</w:r>
    </w:p>
    <w:p>
      <w:pPr>
        <w:spacing/>
        <w:jc w:val="center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Рекомендуемый</w:t>
      </w:r>
      <w:r>
        <w:rPr>
          <w:rFonts w:ascii="Times New Roman" w:hAnsi="Times New Roman"/>
          <w:i/>
        </w:rPr>
        <w:t xml:space="preserve"> формат наименования инвестиционной площадки: МО, наименования площадки</w:t>
      </w:r>
      <w:r>
        <w:rPr>
          <w:rFonts w:ascii="Times New Roman" w:hAnsi="Times New Roman"/>
          <w:i/>
        </w:rPr>
      </w:r>
    </w:p>
    <w:tbl>
      <w:tblPr>
        <w:tblStyle w:val="NormalTable"/>
        <w:name w:val="Таблица1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3794"/>
        <w:gridCol w:w="6266"/>
      </w:tblGrid>
      <w:tr>
        <w:trPr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Название площадки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</w:rPr>
              <w:t>Инвестиционная площадка П1- производственная зона</w:t>
            </w:r>
            <w:r>
              <w:rPr>
                <w:rFonts w:ascii="Times New Roman" w:hAnsi="Times New Roman"/>
                <w:sz w:val="16"/>
              </w:rPr>
              <w:t xml:space="preserve">                                                                                  </w:t>
            </w:r>
            <w:r>
              <w:rPr>
                <w:rFonts w:ascii="Times New Roman" w:hAnsi="Times New Roman"/>
                <w:sz w:val="16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  (указывается возможное использование </w:t>
            </w:r>
          </w:p>
        </w:tc>
      </w:tr>
      <w:tr>
        <w:trPr>
          <w:cantSplit w:val="0"/>
          <w:trHeight w:val="0" w:hRule="auto"/>
        </w:trPr>
        <w:tc>
          <w:tcPr>
            <w:tcW w:w="379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Тип площадки/ функциональное назначение</w:t>
            </w:r>
          </w:p>
        </w:tc>
        <w:tc>
          <w:tcPr>
            <w:tcW w:w="626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промышленная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1. Положение и окружение инвестиционной площадки </w:t>
      </w:r>
      <w:r>
        <w:rPr>
          <w:rFonts w:ascii="Times New Roman" w:hAnsi="Times New Roman"/>
          <w:b/>
        </w:rPr>
      </w:r>
    </w:p>
    <w:tbl>
      <w:tblPr>
        <w:tblStyle w:val="NormalTable"/>
        <w:name w:val="Таблица2"/>
        <w:tabOrder w:val="0"/>
        <w:jc w:val="left"/>
        <w:tblInd w:w="0" w:type="dxa"/>
        <w:tblW w:w="10034" w:type="dxa"/>
        <w:tblLook w:val="0600" w:firstRow="0" w:lastRow="0" w:firstColumn="0" w:lastColumn="0" w:noHBand="1" w:noVBand="1"/>
      </w:tblPr>
      <w:tblGrid>
        <w:gridCol w:w="3673"/>
        <w:gridCol w:w="6361"/>
      </w:tblGrid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Место расположения (адрес)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Кемеровская область, г. Анжеро-Судженск, ул. Горноспасательная</w:t>
            </w:r>
          </w:p>
        </w:tc>
      </w:tr>
      <w:tr>
        <w:trPr>
          <w:cantSplit w:val="0"/>
          <w:trHeight w:val="0" w:hRule="auto"/>
        </w:trPr>
        <w:tc>
          <w:tcPr>
            <w:tcW w:w="10034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объектов (в км):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г. Кемерово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100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центра муниципального образования 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9,7 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автомагистрали (название дороги)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Расстояние по прямой </w:t>
            </w:r>
            <w:r>
              <w:t>0,052</w:t>
            </w:r>
            <w:r>
              <w:rPr>
                <w:rFonts w:ascii="Times New Roman" w:hAnsi="Times New Roman"/>
              </w:rPr>
              <w:t>км</w:t>
            </w:r>
            <w:r>
              <w:rPr>
                <w:rFonts w:ascii="Times New Roman" w:hAnsi="Times New Roman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Расстояние по дорогам общего пользования 0,07 км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автомобильных подъездных путей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 границе площадки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покрытия автодороги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грунтовое покрытие 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Наличие железнодорожной погрузочно – разгрузочной площадки (станции, ее 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 границе площадки нет</w:t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на расстоянии 3,6 км от границы площадки по дорогам общего пользования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аэропорта (название)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109,2км Название аэропорта Международный аэропорт Кемерово им. А.А. Леонова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Удаленность от полигонов размещения отходов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 км. № полигона в ГРОРО 42-00322-З-00552-070715</w:t>
            </w:r>
          </w:p>
        </w:tc>
      </w:tr>
      <w:tr>
        <w:trPr>
          <w:cantSplit w:val="0"/>
          <w:trHeight w:val="0" w:hRule="auto"/>
        </w:trPr>
        <w:tc>
          <w:tcPr>
            <w:tcW w:w="36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Рельеф поверхности (ровная, наклонная, террасная, уступами)</w:t>
            </w:r>
          </w:p>
        </w:tc>
        <w:tc>
          <w:tcPr>
            <w:tcW w:w="636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Ровная </w:t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2. Правовой статус инвестиционной площадки</w:t>
      </w:r>
      <w:r>
        <w:rPr>
          <w:rFonts w:ascii="Times New Roman" w:hAnsi="Times New Roman"/>
          <w:b/>
        </w:rPr>
      </w:r>
    </w:p>
    <w:tbl>
      <w:tblPr>
        <w:tblStyle w:val="NormalTable"/>
        <w:name w:val="Таблица3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3823"/>
        <w:gridCol w:w="6237"/>
      </w:tblGrid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Вид собственности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муниципальная собственность</w:t>
            </w:r>
          </w:p>
        </w:tc>
      </w:tr>
      <w:tr>
        <w:trPr>
          <w:cantSplit w:val="0"/>
          <w:trHeight w:val="311" w:hRule="atLeast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Категория земель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земли населенных пунктов  </w:t>
            </w:r>
          </w:p>
        </w:tc>
      </w:tr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Межевание земельного участка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не проведено</w:t>
            </w:r>
          </w:p>
        </w:tc>
      </w:tr>
      <w:tr>
        <w:trPr>
          <w:cantSplit w:val="0"/>
          <w:trHeight w:val="0" w:hRule="auto"/>
        </w:trPr>
        <w:tc>
          <w:tcPr>
            <w:tcW w:w="382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Кадастровый номер </w:t>
            </w:r>
          </w:p>
        </w:tc>
        <w:tc>
          <w:tcPr>
            <w:tcW w:w="623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jc w:val="both"/>
              <w:widowControl w:val="0"/>
            </w:pPr>
            <w:r>
              <w:t>1) 42:20:0103020:781</w:t>
            </w:r>
          </w:p>
          <w:p>
            <w:pPr>
              <w:spacing/>
              <w:jc w:val="both"/>
              <w:widowControl w:val="0"/>
            </w:pPr>
            <w:r>
              <w:t>2) 42:20:0103033:15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t>3) 42:20:0103019:231</w:t>
            </w:r>
            <w:r>
              <w:rPr>
                <w:rFonts w:ascii="Times New Roman" w:hAnsi="Times New Roman"/>
              </w:rPr>
            </w:r>
          </w:p>
        </w:tc>
      </w:tr>
    </w:tbl>
    <w:p>
      <w:pPr>
        <w:ind w:left="714"/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contextual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3. Характеристика территории инвестиционной площадки </w:t>
      </w:r>
      <w:r>
        <w:rPr>
          <w:rFonts w:ascii="Times New Roman" w:hAnsi="Times New Roman"/>
          <w:b/>
        </w:rPr>
      </w:r>
    </w:p>
    <w:tbl>
      <w:tblPr>
        <w:tblStyle w:val="NormalTable"/>
        <w:name w:val="Таблица4"/>
        <w:tabOrder w:val="0"/>
        <w:jc w:val="left"/>
        <w:tblInd w:w="0" w:type="dxa"/>
        <w:tblW w:w="10044" w:type="dxa"/>
        <w:tblLook w:val="0600" w:firstRow="0" w:lastRow="0" w:firstColumn="0" w:lastColumn="0" w:noHBand="1" w:noVBand="1"/>
      </w:tblPr>
      <w:tblGrid>
        <w:gridCol w:w="4388"/>
        <w:gridCol w:w="5656"/>
      </w:tblGrid>
      <w:tr>
        <w:trPr>
          <w:cantSplit w:val="0"/>
          <w:trHeight w:val="853" w:hRule="atLeast"/>
        </w:trPr>
        <w:tc>
          <w:tcPr>
            <w:tcW w:w="43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Площадь, в га</w:t>
            </w:r>
          </w:p>
        </w:tc>
        <w:tc>
          <w:tcPr>
            <w:tcW w:w="565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ind w:left="0" w:firstLine="708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1)5,67</w:t>
            </w:r>
          </w:p>
          <w:p>
            <w:pPr>
              <w:ind w:left="0" w:firstLine="708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2)4,44</w:t>
            </w:r>
          </w:p>
          <w:p>
            <w:pPr>
              <w:ind w:left="0" w:firstLine="708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3) 3,33</w:t>
            </w:r>
          </w:p>
        </w:tc>
      </w:tr>
      <w:tr>
        <w:trPr>
          <w:cantSplit w:val="0"/>
          <w:trHeight w:val="590" w:hRule="atLeast"/>
        </w:trPr>
        <w:tc>
          <w:tcPr>
            <w:tcW w:w="43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Возможность расширения</w:t>
            </w:r>
          </w:p>
        </w:tc>
        <w:tc>
          <w:tcPr>
            <w:tcW w:w="565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есть 1- до 6,17 га; 2- до </w:t>
            </w:r>
            <w:r>
              <w:rPr>
                <w:rFonts w:ascii="Times New Roman" w:hAnsi="Times New Roman"/>
              </w:rPr>
              <w:t>4,8</w:t>
            </w:r>
            <w:r>
              <w:rPr>
                <w:rFonts w:ascii="Times New Roman" w:hAnsi="Times New Roman"/>
              </w:rPr>
              <w:t xml:space="preserve"> га; 3- до </w:t>
            </w:r>
            <w:r>
              <w:rPr>
                <w:rFonts w:ascii="Times New Roman" w:hAnsi="Times New Roman"/>
              </w:rPr>
              <w:t>3,6</w:t>
            </w:r>
            <w:r>
              <w:rPr>
                <w:rFonts w:ascii="Times New Roman" w:hAnsi="Times New Roman"/>
              </w:rPr>
              <w:t xml:space="preserve"> га.</w:t>
            </w:r>
            <w:r>
              <w:rPr>
                <w:rFonts w:ascii="Times New Roman" w:hAnsi="Times New Roman"/>
              </w:rPr>
            </w:r>
          </w:p>
          <w:p>
            <w:pPr>
              <w:ind w:left="360" w:firstLine="0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нет</w:t>
            </w:r>
          </w:p>
        </w:tc>
      </w:tr>
      <w:tr>
        <w:trPr>
          <w:cantSplit w:val="0"/>
          <w:trHeight w:val="575" w:hRule="atLeast"/>
        </w:trPr>
        <w:tc>
          <w:tcPr>
            <w:tcW w:w="438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Стоимость ориентировочная, тыс.руб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</w:r>
          </w:p>
        </w:tc>
        <w:tc>
          <w:tcPr>
            <w:tcW w:w="565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Приобретения 1- 111 973; 2- 94 318; 3- 66 221.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Аренды в месяц 1- 114; 2- 96; 3- 67.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1247" w:hRule="atLeast"/>
        </w:trPr>
        <w:tc>
          <w:tcPr>
            <w:tcW w:w="437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Возможные меры поддержки</w:t>
            </w:r>
          </w:p>
        </w:tc>
        <w:tc>
          <w:tcPr>
            <w:tcW w:w="567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ТОСЭР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ОЭЗ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ФРМ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МКК Госфонд Кемеровской области </w:t>
            </w:r>
          </w:p>
        </w:tc>
      </w:tr>
    </w:tbl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4. Характеристика инженерной инфраструктуры инвестиционной площадки*</w:t>
      </w:r>
    </w:p>
    <w:tbl>
      <w:tblPr>
        <w:tblStyle w:val="NormalTable"/>
        <w:name w:val="Таблица5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1384"/>
        <w:gridCol w:w="851"/>
        <w:gridCol w:w="1134"/>
        <w:gridCol w:w="1275"/>
        <w:gridCol w:w="1418"/>
        <w:gridCol w:w="1134"/>
        <w:gridCol w:w="992"/>
        <w:gridCol w:w="1872"/>
      </w:tblGrid>
      <w:tr>
        <w:trPr>
          <w:cantSplit w:val="0"/>
          <w:trHeight w:val="270" w:hRule="atLeast"/>
        </w:trPr>
        <w:tc>
          <w:tcPr>
            <w:tcW w:w="1384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ind w:left="-108" w:firstLine="0"/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Вид инфраструктуры</w:t>
            </w:r>
          </w:p>
        </w:tc>
        <w:tc>
          <w:tcPr>
            <w:tcW w:w="851" w:type="dxa"/>
            <w:vMerge w:val="restart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Единица измерения</w:t>
            </w:r>
          </w:p>
        </w:tc>
        <w:tc>
          <w:tcPr>
            <w:tcW w:w="2409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Мощность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Расстояние от границы площадки до точки подключения/</w:t>
            </w:r>
          </w:p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присоединения, км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Стоимость подключения к ресурсу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Стоимость ресурса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jc w:val="both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Поставщик ресурса</w:t>
            </w:r>
          </w:p>
        </w:tc>
      </w:tr>
      <w:tr>
        <w:trPr>
          <w:cantSplit w:val="0"/>
          <w:trHeight w:val="222" w:hRule="atLeast"/>
        </w:trPr>
        <w:tc>
          <w:tcPr>
            <w:tcW w:w="1384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/>
        </w:tc>
        <w:tc>
          <w:tcPr>
            <w:tcW w:w="851" w:type="dxa"/>
            <w:vMerge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/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Существующая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Доступная к подведению 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</w:r>
          </w:p>
        </w:tc>
      </w:tr>
      <w:tr>
        <w:trPr>
          <w:cantSplit w:val="0"/>
          <w:trHeight w:val="276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Газ 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 xml:space="preserve">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</w:tr>
      <w:tr>
        <w:trPr>
          <w:cantSplit w:val="0"/>
          <w:trHeight w:val="33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Теплоснабжение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Гкал/час 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-</w:t>
            </w:r>
          </w:p>
        </w:tc>
      </w:tr>
      <w:tr>
        <w:trPr>
          <w:cantSplit w:val="0"/>
          <w:trHeight w:val="289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Электроэнергия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кВт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1) КТП-24,250 кВа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2)КТП-236,100кВа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3) КТП-236,100кВа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531кВт(без учета строительсвта новых ТП)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Не далее 15 метров во внешнюю сторону от границы участка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11,26-11,64</w:t>
            </w:r>
          </w:p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руб./кВтч</w:t>
            </w:r>
          </w:p>
        </w:tc>
        <w:tc>
          <w:tcPr>
            <w:tcW w:w="187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ПАО "Кузбассэнергосбыт"</w:t>
            </w:r>
          </w:p>
        </w:tc>
      </w:tr>
      <w:tr>
        <w:trPr>
          <w:cantSplit w:val="0"/>
          <w:trHeight w:val="280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Водоснабжение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водопроводной линии – Ø50мм. Гарантированное давление линии водоснабжения – 1атм.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водопроводной линии – Ø50мм. Гарантированное давление линии водоснабжения – 1атм.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0,3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/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  <w:r/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60,37</w:t>
            </w:r>
          </w:p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руб./куб.м.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  <w:tr>
        <w:trPr>
          <w:cantSplit w:val="0"/>
          <w:trHeight w:val="264" w:hRule="atLeast"/>
        </w:trPr>
        <w:tc>
          <w:tcPr>
            <w:tcW w:w="138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Водоотведение</w:t>
            </w:r>
          </w:p>
        </w:tc>
        <w:tc>
          <w:tcPr>
            <w:tcW w:w="85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м</w:t>
            </w:r>
            <w:r>
              <w:rPr>
                <w:rFonts w:ascii="Times New Roman" w:hAnsi="Times New Roman"/>
                <w:sz w:val="16"/>
                <w:vertAlign w:val="superscript"/>
              </w:rPr>
              <w:t>3</w:t>
            </w:r>
            <w:r>
              <w:rPr>
                <w:rFonts w:ascii="Times New Roman" w:hAnsi="Times New Roman"/>
                <w:sz w:val="16"/>
              </w:rPr>
              <w:t>/час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линии водоотведения – Ø100мм.</w:t>
            </w:r>
          </w:p>
        </w:tc>
        <w:tc>
          <w:tcPr>
            <w:tcW w:w="127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Диаметр линии водоотведения – Ø100мм.</w:t>
            </w:r>
          </w:p>
        </w:tc>
        <w:tc>
          <w:tcPr>
            <w:tcW w:w="1418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2,06</w:t>
            </w:r>
          </w:p>
        </w:tc>
        <w:tc>
          <w:tcPr>
            <w:tcW w:w="113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/>
            <w:r>
              <w:rPr>
                <w:rFonts w:ascii="Times New Roman" w:hAnsi="Times New Roman"/>
                <w:sz w:val="16"/>
              </w:rPr>
              <w:t xml:space="preserve">Стоимость определяется согласно договора на тех.присоединение </w:t>
            </w:r>
            <w:r/>
          </w:p>
        </w:tc>
        <w:tc>
          <w:tcPr>
            <w:tcW w:w="99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49,98</w:t>
            </w:r>
          </w:p>
        </w:tc>
        <w:tc>
          <w:tcPr>
            <w:tcW w:w="1872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pStyle w:val="para0"/>
              <w:ind w:left="0" w:right="0" w:firstLine="0"/>
              <w:spacing w:before="0" w:after="0"/>
              <w:jc w:val="left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ООО «Чистая вода»</w:t>
            </w:r>
          </w:p>
        </w:tc>
      </w:tr>
    </w:tbl>
    <w:p>
      <w:pPr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>*данные носят ориентировочный характер, точные данные будут предоставлены при заключении договора на технологическое присоединение</w:t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5. Основные параметры расположенных на площадке зданий и сооружений</w:t>
      </w:r>
      <w:r>
        <w:rPr>
          <w:rFonts w:ascii="Times New Roman" w:hAnsi="Times New Roman"/>
          <w:b/>
          <w:vertAlign w:val="superscript"/>
        </w:rPr>
      </w:r>
      <w:r>
        <w:rPr>
          <w:rFonts w:ascii="Times New Roman" w:hAnsi="Times New Roman"/>
          <w:b/>
          <w:vertAlign w:val="superscript"/>
        </w:rPr>
        <w:footnoteReference w:id="1"/>
      </w:r>
      <w:r>
        <w:rPr>
          <w:rFonts w:ascii="Times New Roman" w:hAnsi="Times New Roman"/>
          <w:b/>
        </w:rPr>
        <w:t xml:space="preserve">: </w:t>
      </w:r>
      <w:r>
        <w:rPr>
          <w:rFonts w:ascii="Times New Roman" w:hAnsi="Times New Roman"/>
          <w:b/>
        </w:rPr>
      </w:r>
    </w:p>
    <w:tbl>
      <w:tblPr>
        <w:tblStyle w:val="NormalTable"/>
        <w:name w:val="Таблица6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1101"/>
        <w:gridCol w:w="850"/>
        <w:gridCol w:w="709"/>
        <w:gridCol w:w="992"/>
        <w:gridCol w:w="992"/>
        <w:gridCol w:w="804"/>
        <w:gridCol w:w="1181"/>
        <w:gridCol w:w="992"/>
        <w:gridCol w:w="1276"/>
        <w:gridCol w:w="1163"/>
      </w:tblGrid>
      <w:tr>
        <w:trPr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Наименование здания/</w:t>
            </w:r>
          </w:p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сооружения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Площадь, м</w:t>
            </w:r>
            <w:r>
              <w:rPr>
                <w:rFonts w:ascii="Times New Roman" w:hAnsi="Times New Roman"/>
                <w:sz w:val="16"/>
                <w:vertAlign w:val="superscript"/>
              </w:rPr>
              <w:t>2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Этажность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Степень завершенности в %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Год постройки, оценка текущего состояния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Высота этажа, м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Строительный материал конструкции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Состояние, степень износа, %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Возможность расширения</w:t>
            </w:r>
            <w:r>
              <w:rPr>
                <w:rFonts w:ascii="Times New Roman" w:hAnsi="Times New Roman"/>
                <w:b/>
                <w:i/>
                <w:sz w:val="16"/>
              </w:rPr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  <w:sz w:val="16"/>
              </w:rPr>
            </w:pPr>
            <w:r>
              <w:rPr>
                <w:rFonts w:ascii="Times New Roman" w:hAnsi="Times New Roman"/>
                <w:sz w:val="16"/>
              </w:rPr>
              <w:t>Использование в настоящее время</w:t>
            </w:r>
          </w:p>
        </w:tc>
      </w:tr>
      <w:tr>
        <w:trPr>
          <w:cantSplit w:val="0"/>
          <w:trHeight w:val="0" w:hRule="auto"/>
        </w:trPr>
        <w:tc>
          <w:tcPr>
            <w:tcW w:w="110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80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181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276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  <w:tc>
          <w:tcPr>
            <w:tcW w:w="1163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contextualSpacing/>
              <w:rPr>
                <w:rFonts w:ascii="Times New Roman" w:hAnsi="Times New Roman"/>
                <w:b/>
                <w:i/>
                <w:sz w:val="16"/>
              </w:rPr>
            </w:pPr>
            <w:r>
              <w:rPr>
                <w:rFonts w:ascii="Times New Roman" w:hAnsi="Times New Roman"/>
                <w:b/>
                <w:i/>
                <w:sz w:val="16"/>
              </w:rPr>
              <w:t>-</w:t>
            </w:r>
          </w:p>
        </w:tc>
      </w:tr>
    </w:tbl>
    <w:p>
      <w:pPr>
        <w:ind w:left="714"/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tabs defTabSz="708">
          <w:tab w:val="left" w:pos="851" w:leader="none"/>
        </w:tabs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6. Характеристика доступной ресурсно-сырьевой базы</w:t>
      </w:r>
      <w:r>
        <w:rPr>
          <w:rFonts w:ascii="Times New Roman" w:hAnsi="Times New Roman"/>
          <w:b/>
          <w:vertAlign w:val="superscript"/>
        </w:rPr>
      </w:r>
      <w:r>
        <w:rPr>
          <w:rFonts w:ascii="Times New Roman" w:hAnsi="Times New Roman"/>
          <w:b/>
          <w:vertAlign w:val="superscript"/>
        </w:rPr>
        <w:footnoteReference w:id="2"/>
      </w:r>
      <w:r>
        <w:rPr>
          <w:rFonts w:ascii="Times New Roman" w:hAnsi="Times New Roman"/>
          <w:b/>
        </w:rPr>
      </w:r>
    </w:p>
    <w:tbl>
      <w:tblPr>
        <w:tblStyle w:val="NormalTable"/>
        <w:name w:val="Таблица7"/>
        <w:tabOrder w:val="0"/>
        <w:jc w:val="left"/>
        <w:tblInd w:w="0" w:type="dxa"/>
        <w:tblW w:w="10063" w:type="dxa"/>
        <w:tblLook w:val="0600" w:firstRow="0" w:lastRow="0" w:firstColumn="0" w:lastColumn="0" w:noHBand="1" w:noVBand="1"/>
      </w:tblPr>
      <w:tblGrid>
        <w:gridCol w:w="1527"/>
        <w:gridCol w:w="2835"/>
        <w:gridCol w:w="1844"/>
        <w:gridCol w:w="3857"/>
      </w:tblGrid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Вид ресурсов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Величина разведанных/ подтвержденных запасов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Статус месторождения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Расстояние от границы площадки до месторождения, км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каменный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геологические запасы более 1,5 млрд.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месторождения Яшкинского и Кемеровского районов, от р. Кайгур до г. Анжеро-Судженска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700" w:hRule="atLeast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алюминиевые руды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более 10 млрд.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Барзасское месторождение (Единисский, Суховский, Глухаринский, </w:t>
            </w:r>
            <w:r>
              <w:rPr>
                <w:rFonts w:ascii="Times New Roman" w:hAnsi="Times New Roman"/>
                <w:sz w:val="22"/>
              </w:rPr>
              <w:t>Гавриловский</w:t>
            </w:r>
            <w:r>
              <w:rPr>
                <w:rFonts w:ascii="Times New Roman" w:hAnsi="Times New Roman"/>
                <w:sz w:val="22"/>
              </w:rPr>
              <w:t>, Золото-</w:t>
            </w:r>
            <w:r>
              <w:rPr>
                <w:rFonts w:ascii="Times New Roman" w:hAnsi="Times New Roman"/>
                <w:sz w:val="22"/>
              </w:rPr>
              <w:t>Китатский</w:t>
            </w:r>
            <w:r>
              <w:rPr>
                <w:rFonts w:ascii="Times New Roman" w:hAnsi="Times New Roman"/>
                <w:sz w:val="22"/>
              </w:rPr>
              <w:t xml:space="preserve"> участки, на территории Кемеровского, </w:t>
            </w:r>
            <w:r>
              <w:rPr>
                <w:rFonts w:ascii="Times New Roman" w:hAnsi="Times New Roman"/>
                <w:sz w:val="22"/>
              </w:rPr>
              <w:t>Яйского</w:t>
            </w:r>
            <w:r>
              <w:rPr>
                <w:rFonts w:ascii="Times New Roman" w:hAnsi="Times New Roman"/>
                <w:sz w:val="22"/>
              </w:rPr>
              <w:t xml:space="preserve"> и </w:t>
            </w:r>
            <w:r>
              <w:rPr>
                <w:rFonts w:ascii="Times New Roman" w:hAnsi="Times New Roman"/>
                <w:sz w:val="22"/>
              </w:rPr>
              <w:t>Ижморского</w:t>
            </w:r>
            <w:r>
              <w:rPr>
                <w:rFonts w:ascii="Times New Roman" w:hAnsi="Times New Roman"/>
                <w:sz w:val="22"/>
              </w:rPr>
              <w:t xml:space="preserve"> районов, от р. Барзас до р. Золотой </w:t>
            </w:r>
            <w:r>
              <w:rPr>
                <w:rFonts w:ascii="Times New Roman" w:hAnsi="Times New Roman"/>
                <w:sz w:val="22"/>
              </w:rPr>
              <w:t>Китат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железная руда (магнетитовая)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более 500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междуречье р. Алчедат и р. Золотой Китат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кварциты Антоновской группы месторождений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промышленно оцененные запасы составляют 0,5 млрд. тонн;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Пгт. Рудничный 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бурый уголь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запасы около 2,0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-</w:t>
            </w: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(Китатское месторождение, территория Яйского района, по реке Китат между пос. </w:t>
            </w:r>
            <w:r>
              <w:rPr>
                <w:rFonts w:ascii="Times New Roman" w:hAnsi="Times New Roman"/>
                <w:sz w:val="22"/>
              </w:rPr>
              <w:t>Улановка</w:t>
            </w:r>
            <w:r>
              <w:rPr>
                <w:rFonts w:ascii="Times New Roman" w:hAnsi="Times New Roman"/>
                <w:sz w:val="22"/>
              </w:rPr>
              <w:t xml:space="preserve"> и пос. Вознесенка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марганцевая руда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82,9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Ижморского и Верх-Чебулинского районов, от р. Кайгагат до р. Заломная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диабазы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запасы 3,68 млн. м</w:t>
            </w:r>
            <w:r>
              <w:rPr>
                <w:rFonts w:ascii="Times New Roman" w:hAnsi="Times New Roman"/>
                <w:sz w:val="22"/>
                <w:vertAlign w:val="superscript"/>
              </w:rPr>
              <w:t>3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Кемеровского района, Васильевское месторождение (недалеко от пос. Барзас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глины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имеет запасы категории В - 66 млн. тонн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расположено в 9 км от ст. Анжерская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52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минеральные краски</w:t>
            </w:r>
            <w:r>
              <w:rPr>
                <w:rFonts w:ascii="Times New Roman" w:hAnsi="Times New Roman"/>
              </w:rPr>
            </w:r>
          </w:p>
        </w:tc>
        <w:tc>
          <w:tcPr>
            <w:tcW w:w="2835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месторождения Баранцовское (160 т. тн); Тайгинское (2246 т.тн</w:t>
            </w:r>
            <w:r>
              <w:rPr>
                <w:rFonts w:ascii="Times New Roman" w:hAnsi="Times New Roman"/>
                <w:sz w:val="22"/>
              </w:rPr>
              <w:t xml:space="preserve">); </w:t>
            </w:r>
            <w:r>
              <w:rPr>
                <w:rFonts w:ascii="Times New Roman" w:hAnsi="Times New Roman"/>
                <w:sz w:val="22"/>
              </w:rPr>
              <w:t>Халдеевское</w:t>
            </w:r>
            <w:r>
              <w:rPr>
                <w:rFonts w:ascii="Times New Roman" w:hAnsi="Times New Roman"/>
                <w:sz w:val="22"/>
              </w:rPr>
              <w:t xml:space="preserve"> (25 </w:t>
            </w:r>
            <w:r>
              <w:rPr>
                <w:rFonts w:ascii="Times New Roman" w:hAnsi="Times New Roman"/>
                <w:sz w:val="22"/>
              </w:rPr>
              <w:t>т.тн</w:t>
            </w:r>
            <w:r>
              <w:rPr>
                <w:rFonts w:ascii="Times New Roman" w:hAnsi="Times New Roman"/>
                <w:sz w:val="22"/>
              </w:rPr>
              <w:t>.);</w:t>
            </w:r>
            <w:r>
              <w:rPr>
                <w:rFonts w:ascii="Times New Roman" w:hAnsi="Times New Roman"/>
              </w:rPr>
            </w:r>
          </w:p>
        </w:tc>
        <w:tc>
          <w:tcPr>
            <w:tcW w:w="1844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3857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 w:line="252" w:lineRule="auto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территория Яйского, Яшкинского районов</w:t>
            </w:r>
            <w:r>
              <w:rPr>
                <w:rFonts w:ascii="Times New Roman" w:hAnsi="Times New Roman"/>
              </w:rPr>
            </w:r>
          </w:p>
        </w:tc>
      </w:tr>
    </w:tbl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7. Трудовые ресурсы</w:t>
      </w:r>
    </w:p>
    <w:tbl>
      <w:tblPr>
        <w:tblStyle w:val="NormalTable"/>
        <w:name w:val="Таблица8"/>
        <w:tabOrder w:val="0"/>
        <w:jc w:val="left"/>
        <w:tblInd w:w="-5" w:type="dxa"/>
        <w:tblW w:w="10065" w:type="dxa"/>
        <w:pPr>
          <w:ind w:left="-5"/>
        </w:pPr>
        <w:tblLook w:val="0600" w:firstRow="0" w:lastRow="0" w:firstColumn="0" w:lastColumn="0" w:noHBand="1" w:noVBand="1"/>
      </w:tblPr>
      <w:tblGrid>
        <w:gridCol w:w="4395"/>
        <w:gridCol w:w="5670"/>
      </w:tblGrid>
      <w:tr>
        <w:trPr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 населения, проживающего в ближайшем населенном пункте,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68275</w:t>
            </w:r>
          </w:p>
        </w:tc>
      </w:tr>
      <w:tr>
        <w:trPr>
          <w:cantSplit w:val="0"/>
          <w:trHeight w:val="0" w:hRule="auto"/>
        </w:trPr>
        <w:tc>
          <w:tcPr>
            <w:tcW w:w="4395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jc w:val="center"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том числе трудоспособного населения, человек</w:t>
            </w:r>
          </w:p>
        </w:tc>
        <w:tc>
          <w:tcPr>
            <w:tcW w:w="5670" w:type="dxa"/>
            <w:tcMar>
              <w:top w:w="102" w:type="dxa"/>
              <w:left w:w="62" w:type="dxa"/>
              <w:bottom w:w="102" w:type="dxa"/>
              <w:right w:w="62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pStyle w:val="para0"/>
              <w:ind w:left="0" w:right="0" w:firstLine="0"/>
              <w:spacing w:before="0" w:after="0"/>
              <w:jc w:val="center"/>
              <w:widowControl/>
              <w:tabs defTabSz="708">
                <w:tab w:val="center" w:pos="4677" w:leader="none"/>
                <w:tab w:val="right" w:pos="9355" w:leader="none"/>
              </w:tabs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38376</w:t>
            </w:r>
          </w:p>
        </w:tc>
      </w:tr>
    </w:tbl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contextualSpacing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8. Сведения о владельце (собственнике) площадки:</w:t>
      </w:r>
    </w:p>
    <w:tbl>
      <w:tblPr>
        <w:tblStyle w:val="NormalTable"/>
        <w:name w:val="Таблица9"/>
        <w:tabOrder w:val="0"/>
        <w:jc w:val="left"/>
        <w:tblInd w:w="0" w:type="dxa"/>
        <w:tblW w:w="10060" w:type="dxa"/>
        <w:tblLook w:val="0600" w:firstRow="0" w:lastRow="0" w:firstColumn="0" w:lastColumn="0" w:noHBand="1" w:noVBand="1"/>
      </w:tblPr>
      <w:tblGrid>
        <w:gridCol w:w="4390"/>
        <w:gridCol w:w="5670"/>
      </w:tblGrid>
      <w:tr>
        <w:trPr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Владелец (собственник)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Наименование предприятия/ Ф.И.О.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КУМИ администрации Анжеро-Судженского городского округа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Юридический адрес: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Кемеровская область, город Анжеро-Судженск ул. Ленина 6 </w:t>
            </w:r>
          </w:p>
        </w:tc>
      </w:tr>
      <w:tr>
        <w:trPr>
          <w:cantSplit w:val="0"/>
          <w:trHeight w:val="1178" w:hRule="atLeast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Форма владения (использования) землей (и) и зданиями(ий) (собственность, аренда, др.)</w:t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собственность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60431472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  <w:tc>
          <w:tcPr>
            <w:tcW w:w="5670" w:type="dxa"/>
            <w:tcBorders>
              <w:top w:val="single" w:sz="4" w:space="0" w:color="000000" tmln="10, 20, 20, 0, 0"/>
              <w:left w:val="nil" w:sz="0" w:space="0" w:color="000000" tmln="20, 20, 20, 0, 0"/>
              <w:bottom w:val="single" w:sz="4" w:space="0" w:color="000000" tmln="10, 20, 20, 0, 0"/>
              <w:right w:val="nil" w:sz="0" w:space="0" w:color="000000" tmln="20, 20, 20, 0, 0"/>
            </w:tcBorders>
            <w:tmTcPr id="1760431472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10060" w:type="dxa"/>
            <w:gridSpan w:val="2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spacing/>
              <w:contextualSpacing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Контактное лицо:</w:t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Ф.И.О., должность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pStyle w:val="para0"/>
              <w:ind w:left="175" w:right="0" w:hanging="175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 xml:space="preserve">Чемякин Илья Владимирович, начальник управления экономического развития, промышленности и предпринимательства 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0" w:hRule="auto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Телефон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pStyle w:val="para0"/>
              <w:ind w:left="175" w:right="0" w:hanging="175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</w:rPr>
              <w:t>8-908-930-5042 ; 8(3845) 6-12-79 ; 8(3845)6-56-17</w:t>
            </w:r>
            <w:r>
              <w:rPr>
                <w:rFonts w:ascii="Times New Roman" w:hAnsi="Times New Roman"/>
              </w:rPr>
            </w:r>
          </w:p>
        </w:tc>
      </w:tr>
      <w:tr>
        <w:trPr>
          <w:cantSplit w:val="0"/>
          <w:trHeight w:val="200" w:hRule="atLeast"/>
        </w:trPr>
        <w:tc>
          <w:tcPr>
            <w:tcW w:w="4390" w:type="dxa"/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contextualSpacing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e-mail</w:t>
            </w:r>
          </w:p>
        </w:tc>
        <w:tc>
          <w:tcPr>
            <w:tcW w:w="5670" w:type="dxa"/>
            <w:tcMar>
              <w:top w:w="0" w:type="dxa"/>
              <w:left w:w="108" w:type="dxa"/>
              <w:bottom w:w="0" w:type="dxa"/>
              <w:right w:w="108" w:type="dxa"/>
            </w:tcMar>
            <w:tcBorders>
              <w:top w:val="single" w:sz="4" w:space="0" w:color="000000" tmln="10, 20, 20, 0, 0"/>
              <w:left w:val="single" w:sz="4" w:space="0" w:color="000000" tmln="10, 20, 20, 0, 0"/>
              <w:bottom w:val="single" w:sz="4" w:space="0" w:color="000000" tmln="10, 20, 20, 0, 0"/>
              <w:right w:val="single" w:sz="4" w:space="0" w:color="000000" tmln="10, 20, 20, 0, 0"/>
            </w:tcBorders>
            <w:tmTcPr id="1760431472" protected="0"/>
          </w:tcPr>
          <w:p>
            <w:pPr>
              <w:pStyle w:val="para0"/>
              <w:ind w:left="0" w:right="0" w:firstLine="0"/>
              <w:spacing w:before="0" w:after="0"/>
              <w:contextualSpacing/>
              <w:jc w:val="left"/>
              <w:widowControl/>
              <w:rPr>
                <w:rFonts w:ascii="Times New Roman" w:hAnsi="Times New Roman"/>
              </w:rPr>
            </w:pPr>
            <w:hyperlink r:id="rId8" w:history="1">
              <w:r>
                <w:rPr>
                  <w:rStyle w:val="char11"/>
                  <w:rFonts w:ascii="Times New Roman" w:hAnsi="Times New Roman"/>
                  <w:sz w:val="22"/>
                </w:rPr>
                <w:t>upp@anzhero.ru</w:t>
              </w:r>
            </w:hyperlink>
            <w:r>
              <w:rPr>
                <w:rFonts w:ascii="Times New Roman" w:hAnsi="Times New Roman"/>
              </w:rPr>
              <w:t xml:space="preserve"> ; </w:t>
            </w:r>
            <w:hyperlink r:id="rId9" w:history="1">
              <w:r>
                <w:rPr>
                  <w:rStyle w:val="char11"/>
                  <w:rFonts w:ascii="Times New Roman" w:hAnsi="Times New Roman"/>
                </w:rPr>
                <w:t>promotdel@anzhero.ru</w:t>
              </w:r>
            </w:hyperlink>
            <w:r>
              <w:rPr>
                <w:rFonts w:ascii="Times New Roman" w:hAnsi="Times New Roman"/>
              </w:rPr>
              <w:t xml:space="preserve"> </w:t>
            </w:r>
          </w:p>
        </w:tc>
      </w:tr>
    </w:tbl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</w:r>
    </w:p>
    <w:p>
      <w:pPr>
        <w:spacing/>
        <w:jc w:val="both"/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</w:r>
    </w:p>
    <w:p>
      <w:pPr>
        <w:rPr>
          <w:rFonts w:ascii="Times New Roman" w:hAnsi="Times New Roman"/>
          <w:i/>
          <w:sz w:val="16"/>
        </w:rPr>
      </w:pPr>
      <w:r>
        <w:rPr>
          <w:rFonts w:ascii="Times New Roman" w:hAnsi="Times New Roman"/>
          <w:i/>
          <w:sz w:val="16"/>
        </w:rPr>
      </w:r>
    </w:p>
    <w:p>
      <w:pPr>
        <w:sectPr>
          <w:footnotePr>
            <w:pos w:val="pageBottom"/>
            <w:numFmt w:val="decimal"/>
            <w:numStart w:val="1"/>
            <w:numRestart w:val="continuous"/>
          </w:footnotePr>
          <w:endnotePr>
            <w:pos w:val="docEnd"/>
            <w:numFmt w:val="lowerRoman"/>
            <w:numStart w:val="1"/>
            <w:numRestart w:val="continuous"/>
          </w:endnotePr>
          <w:type w:val="nextPage"/>
          <w:pgSz w:h="16838" w:w="11906"/>
          <w:pgMar w:left="992" w:top="284" w:right="851" w:bottom="1134" w:header="0" w:footer="0"/>
          <w:paperSrc w:first="0" w:other="0" a="0" b="0"/>
          <w:pgNumType w:fmt="decimal" w:start="0"/>
          <w:tmGutter w:val="3"/>
          <w:mirrorMargins w:val="0"/>
          <w:tmSection w:h="-1"/>
          <w:guidesAndGridMasterPages Id="0" numberOfVerticalGuides="0" numberOfHorizontalGuides="0"/>
          <w:guidesAndGridMasterPages Id="1" numberOfVerticalGuides="0" numberOfHorizontalGuides="0"/>
          <w:guidesAndGridMasterPages Id="2" numberOfVerticalGuides="0" numberOfHorizontalGuides="0"/>
        </w:sectPr>
      </w:pPr>
    </w:p>
    <w:p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114300" distR="114300">
            <wp:extent cx="8867775" cy="6391275"/>
            <wp:effectExtent l="0" t="0" r="0" b="0"/>
            <wp:docPr id="1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/>
                    <pic:cNvPicPr>
                      <a:extLst>
                        <a:ext uri="sm">
                          <sm:smNativeData xmlns:sm="sm" val="SMDATA_16_cA3ua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FACAACfAQAABAM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kAAAAB6AAAAAAAAAAAAAAAAAAAAAAAAAAAAAAAAAAAAAAAAAAAAAAjTYAAFEnAAAAAAAAAAAAAAAAAAAoAAAACAAAAAEAAAABAAAA"/>
                        </a:ext>
                      </a:extLst>
                    </pic:cNvPicPr>
                  </pic:nvPicPr>
                  <pic:blipFill>
                    <a:blip r:embed="rId10"/>
                    <a:srcRect t="5920" r="4150" b="7720"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114300" distR="114300">
            <wp:extent cx="8896350" cy="6410325"/>
            <wp:effectExtent l="0" t="0" r="0" b="0"/>
            <wp:docPr id="2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/>
                    <pic:cNvPicPr>
                      <a:extLst>
                        <a:ext uri="sm">
                          <sm:smNativeData xmlns:sm="sm" val="SMDATA_16_cA3ua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FACAACAAQAA6gI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lAAAAB6AAAAAAAAAAAAAAAAAAAAAAAAAAAAAAAAAAAAAAAAAAAAAAujYAAG8nAAAAAAAAAAAAAAAAAAAoAAAACAAAAAEAAAABAAAA"/>
                        </a:ext>
                      </a:extLst>
                    </pic:cNvPicPr>
                  </pic:nvPicPr>
                  <pic:blipFill>
                    <a:blip r:embed="rId11"/>
                    <a:srcRect t="5920" r="3840" b="7460"/>
                    <a:stretch>
                      <a:fillRect/>
                    </a:stretch>
                  </pic:blipFill>
                  <pic:spPr>
                    <a:xfrm>
                      <a:off x="0" y="0"/>
                      <a:ext cx="889635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114300" distR="114300">
            <wp:extent cx="8877300" cy="6400800"/>
            <wp:effectExtent l="0" t="0" r="0" b="0"/>
            <wp:docPr id="3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6"/>
                    <pic:cNvPicPr>
                      <a:extLst>
                        <a:ext uri="sm">
                          <sm:smNativeData xmlns:sm="sm" val="SMDATA_16_cA3ua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F0CAACVAQAA6gI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mAAAAB6AAAAAAAAAAAAAAAAAAAAAAAAAAAAAAAAAAAAAAAAAAAAAAnDYAAGAnAAAAAAAAAAAAAAAAAAAoAAAACAAAAAEAAAABAAAA"/>
                        </a:ext>
                      </a:extLst>
                    </pic:cNvPicPr>
                  </pic:nvPicPr>
                  <pic:blipFill>
                    <a:blip r:embed="rId12"/>
                    <a:srcRect t="6050" r="4050" b="7460"/>
                    <a:stretch>
                      <a:fillRect/>
                    </a:stretch>
                  </pic:blipFill>
                  <pic:spPr>
                    <a:xfrm>
                      <a:off x="0" y="0"/>
                      <a:ext cx="88773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114300" distR="114300">
            <wp:extent cx="8886825" cy="6391275"/>
            <wp:effectExtent l="0" t="0" r="0" b="0"/>
            <wp:docPr id="4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/>
                    <pic:cNvPicPr>
                      <a:extLst>
                        <a:ext uri="sm">
                          <sm:smNativeData xmlns:sm="sm" val="SMDATA_16_cA3ua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EMCAACLAQAAEQM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nAAAAB6AAAAAAAAAAAAAAAAAAAAAAAAAAAAAAAAAAAAAAAAAAAAAAqzYAAFEnAAAAAAAAAAAAAAAAAAAoAAAACAAAAAEAAAABAAAA"/>
                        </a:ext>
                      </a:extLst>
                    </pic:cNvPicPr>
                  </pic:nvPicPr>
                  <pic:blipFill>
                    <a:blip r:embed="rId13"/>
                    <a:srcRect t="5790" r="3950" b="7850"/>
                    <a:stretch>
                      <a:fillRect/>
                    </a:stretch>
                  </pic:blipFill>
                  <pic:spPr>
                    <a:xfrm>
                      <a:off x="0" y="0"/>
                      <a:ext cx="8886825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114300" distR="114300">
            <wp:extent cx="8858250" cy="6391275"/>
            <wp:effectExtent l="0" t="0" r="0" b="0"/>
            <wp:docPr id="5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0"/>
                    <pic:cNvPicPr>
                      <a:extLst>
                        <a:ext uri="sm">
                          <sm:smNativeData xmlns:sm="sm" val="SMDATA_16_cA3ua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FACAACpAQAABAM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oAAAAB6AAAAAAAAAAAAAAAAAAAAAAAAAAAAAAAAAAAAAAAAAAAAAAfjYAAFEnAAAAAAAAAAAAAAAAAAAoAAAACAAAAAEAAAABAAAA"/>
                        </a:ext>
                      </a:extLst>
                    </pic:cNvPicPr>
                  </pic:nvPicPr>
                  <pic:blipFill>
                    <a:blip r:embed="rId14"/>
                    <a:srcRect t="5920" r="4250" b="772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</w:r>
    </w:p>
    <w:p>
      <w:pPr>
        <w:rPr>
          <w:rFonts w:ascii="Times New Roman" w:hAnsi="Times New Roman"/>
          <w:b/>
        </w:rPr>
      </w:pPr>
      <w:r>
        <w:rPr>
          <w:noProof/>
        </w:rPr>
        <w:drawing>
          <wp:inline distT="0" distB="0" distL="114300" distR="114300">
            <wp:extent cx="8858250" cy="6381750"/>
            <wp:effectExtent l="0" t="0" r="0" b="0"/>
            <wp:docPr id="6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2"/>
                    <pic:cNvPicPr>
                      <a:extLst>
                        <a:ext uri="sm">
                          <sm:smNativeData xmlns:sm="sm" val="SMDATA_16_cA3uaB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PAAAAAQAAACMAAAAjAAAAIwAAAB4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"/>
                        </a:ext>
                      </a:extLst>
                    </pic:cNvPicPr>
                  </pic:nvPicPr>
                  <pic:blipFill>
                    <a:blip r:embed="rId15"/>
                    <a:srcRect t="5920" r="4250" b="7850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</w:r>
    </w:p>
    <w:sectPr>
      <w:footnotePr>
        <w:pos w:val="pageBottom"/>
        <w:numFmt w:val="decimal"/>
        <w:numStart w:val="1"/>
        <w:numRestart w:val="continuous"/>
      </w:footnotePr>
      <w:endnotePr>
        <w:pos w:val="docEnd"/>
        <w:numFmt w:val="lowerRoman"/>
        <w:numStart w:val="1"/>
        <w:numRestart w:val="continuous"/>
      </w:endnotePr>
      <w:type w:val="nextPage"/>
      <w:pgSz w:h="11906" w:w="16838" w:orient="landscape"/>
      <w:pgMar w:left="1134" w:top="993" w:right="1134" w:bottom="850" w:header="0" w:footer="0"/>
      <w:paperSrc w:first="0" w:other="0" a="0" b="0"/>
      <w:pgNumType w:fmt="decimal" w:start="0"/>
      <w:tmGutter w:val="3"/>
      <w:mirrorMargins w:val="0"/>
      <w:tmSection w:h="-2"/>
      <w:guidesAndGridMasterPages Id="0" numberOfVerticalGuides="0" numberOfHorizontalGuides="0"/>
      <w:guidesAndGridMasterPages Id="1" numberOfVerticalGuides="0" numberOfHorizontalGuides="0"/>
      <w:guidesAndGridMasterPages Id="2" numberOfVerticalGuides="0" numberOfHorizontalGuides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ic Roman">
    <w:charset w:val="00"/>
    <w:family w:val="roman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</w:font>
  <w:font w:name="Arial">
    <w:charset w:val="00"/>
    <w:family w:val="auto"/>
    <w:pitch w:val="default"/>
  </w:font>
  <w:font w:name="XO Thames">
    <w:charset w:val="00"/>
    <w:family w:val="roman"/>
    <w:pitch w:val="default"/>
  </w:font>
  <w:font w:name="Segoe UI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footnote w:id="1">
    <w:p>
      <w:pPr>
        <w:pStyle w:val="para13"/>
      </w:pPr>
      <w:r>
        <w:rPr>
          <w:vertAlign w:val="superscript"/>
        </w:rPr>
      </w:r>
      <w:r>
        <w:rPr>
          <w:vertAlign w:val="superscript"/>
        </w:rPr>
        <w:footnoteRef/>
      </w:r>
      <w:r>
        <w:t xml:space="preserve"> Заполняется по каждому объекту недвижимости </w:t>
      </w:r>
    </w:p>
  </w:footnote>
  <w:footnote w:id="2">
    <w:p>
      <w:pPr>
        <w:pStyle w:val="para13"/>
      </w:pPr>
      <w:r>
        <w:rPr>
          <w:vertAlign w:val="superscript"/>
        </w:rPr>
      </w:r>
      <w:r>
        <w:rPr>
          <w:vertAlign w:val="superscript"/>
        </w:rPr>
        <w:footnoteRef/>
      </w:r>
      <w:r>
        <w:t>Для инвестиционных площадок производственного назначения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view w:val="print"/>
  <w:defaultTabStop w:val="708"/>
  <w:autoHyphenation w:val="0"/>
  <w:doNotShadeFormData w:val="0"/>
  <w:captions>
    <w:caption w:name="Таблица" w:pos="below" w:numFmt="decimal"/>
    <w:caption w:name="Рисунок" w:pos="below" w:numFmt="decimal"/>
    <w:caption w:name="Изображение" w:pos="below" w:numFmt="decimal"/>
  </w:captions>
  <w:drawingGridHorizontalSpacing w:val="283"/>
  <w:drawingGridVerticalSpacing w:val="283"/>
  <w:revisionView w:comments="1" w:markup="1" w:insDel="1" w:formatting="1"/>
  <w:footnotePr>
    <w:pos w:val="pageBottom"/>
    <w:numFmt w:val="decimal"/>
    <w:numStart w:val="1"/>
    <w:numRestart w:val="continuous"/>
  </w:footnotePr>
  <w:endnotePr>
    <w:pos w:val="docEnd"/>
    <w:numFmt w:val="lowerRoman"/>
    <w:numStart w:val="1"/>
    <w:numRestart w:val="continuous"/>
  </w:endnotePr>
  <w:compat>
    <w:compatSetting w:name="compatibilityMode" w:uri="http://schemas.microsoft.com/office/word" w:val="15"/>
  </w:compat>
  <w:shapeDefaults>
    <o:shapedefaults v:ext="edit" spidmax="1026"/>
    <o:shapelayout v:ext="edit">
      <o:rules v:ext="edit"/>
    </o:shapelayout>
  </w:shapeDefaults>
  <w:tmPrefOne w:val="17"/>
  <w:tmPrefTwo w:val="1"/>
  <w:tmFmtPref w:val="55057515"/>
  <w:tmCommentsPr>
    <w:tmCommentsPlace w:val="0"/>
    <w:tmCommentsWidth w:val="3119"/>
    <w:tmCommentsColor w:val="-1"/>
  </w:tmCommentsPr>
  <w:tmReviewPr>
    <w:tmReviewEnabled w:val="0"/>
    <w:tmReviewShow w:val="1"/>
    <w:tmReviewPrint w:val="0"/>
    <w:tmRevisionNum w:val="1"/>
    <w:tmReviewMarkIns w:val="4"/>
    <w:tmReviewColorIns w:val="-1"/>
    <w:tmReviewMarkDel w:val="7"/>
    <w:tmReviewColorDel w:val="-1"/>
    <w:tmReviewMarkFmt w:val="7"/>
    <w:tmReviewColorFmt w:val="-1"/>
    <w:tmReviewMarkLn w:val="1"/>
    <w:tmReviewColorLn w:val="0"/>
    <w:tmReviewToolTip w:val="1"/>
  </w:tmReviewPr>
  <w:tmLastPos>
    <w:tmLastPosPage w:val="2"/>
    <w:tmLastPosSelect w:val="0"/>
    <w:tmLastPosFrameIdx w:val="172"/>
    <w:tmLastPosCaret>
      <w:tmLastPosPgfIdx w:val="0"/>
      <w:tmLastPosIdx w:val="0"/>
    </w:tmLastPosCaret>
    <w:tmLastPosAnchor>
      <w:tmLastPosPgfIdx w:val="0"/>
      <w:tmLastPosIdx w:val="0"/>
    </w:tmLastPosAnchor>
    <w:tmLastPosTblRect w:left="0" w:top="0" w:right="0" w:bottom="0"/>
  </w:tmLastPos>
  <w:tmAppRevision w:date="1760431472" w:val="1216" w:fileVer="342" w:fileVer64="64" w:fileVerOS="3"/>
  <w:guidesAndGrid showGuides="1" lockGuides="0" snapToGuides="1" snapToPageMargins="0" tolerance="8" gridDistanceHorizontal="283" gridDistanceVertical="283" showGrid="0" snapToGrid="0"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hAnsi="Arial" w:eastAsia="Basic Roman" w:cs="Basic Roman"/>
        <w:color w:val="000000"/>
        <w:sz w:val="24"/>
        <w:szCs w:val="20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toc 2"/>
    <w:qFormat/>
    <w:next w:val="para0"/>
    <w:pPr>
      <w:ind w:left="2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2">
    <w:name w:val="toc 4"/>
    <w:qFormat/>
    <w:next w:val="para0"/>
    <w:pPr>
      <w:ind w:left="6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3">
    <w:name w:val="toc 6"/>
    <w:qFormat/>
    <w:next w:val="para0"/>
    <w:pPr>
      <w:ind w:left="10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4">
    <w:name w:val="toc 7"/>
    <w:qFormat/>
    <w:next w:val="para0"/>
    <w:pPr>
      <w:ind w:left="12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5">
    <w:name w:val="heading 3"/>
    <w:qFormat/>
    <w:next w:val="para0"/>
    <w:pPr>
      <w:spacing w:before="120" w:after="120" w:line="264" w:lineRule="auto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para6" w:customStyle="1">
    <w:name w:val="Основной шрифт абзаца"/>
    <w:qFormat/>
    <w:pPr>
      <w:spacing w:after="160" w:line="264" w:lineRule="auto"/>
    </w:pPr>
    <w:rPr>
      <w:rFonts w:ascii="Calibri" w:hAnsi="Calibri"/>
      <w:color w:val="000000"/>
      <w:sz w:val="22"/>
    </w:rPr>
  </w:style>
  <w:style w:type="paragraph" w:styleId="para7">
    <w:name w:val="Balloon Text"/>
    <w:qFormat/>
    <w:basedOn w:val="para0"/>
    <w:rPr>
      <w:rFonts w:ascii="Segoe UI" w:hAnsi="Segoe UI"/>
      <w:sz w:val="18"/>
    </w:rPr>
  </w:style>
  <w:style w:type="paragraph" w:styleId="para8">
    <w:name w:val="toc 3"/>
    <w:qFormat/>
    <w:next w:val="para0"/>
    <w:pPr>
      <w:ind w:left="4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9" w:customStyle="1">
    <w:name w:val="Знак сноски"/>
    <w:qFormat/>
    <w:pPr>
      <w:spacing w:after="160" w:line="264" w:lineRule="auto"/>
    </w:pPr>
    <w:rPr>
      <w:rFonts w:ascii="Calibri" w:hAnsi="Calibri"/>
      <w:color w:val="000000"/>
      <w:sz w:val="22"/>
      <w:vertAlign w:val="superscript"/>
    </w:rPr>
  </w:style>
  <w:style w:type="paragraph" w:styleId="para10">
    <w:name w:val="heading 5"/>
    <w:qFormat/>
    <w:next w:val="para0"/>
    <w:pPr>
      <w:spacing w:before="120" w:after="120" w:line="264" w:lineRule="auto"/>
      <w:jc w:val="both"/>
      <w:outlineLvl w:val="4"/>
    </w:pPr>
    <w:rPr>
      <w:rFonts w:ascii="XO Thames" w:hAnsi="XO Thames"/>
      <w:b/>
      <w:color w:val="000000"/>
      <w:sz w:val="22"/>
    </w:rPr>
  </w:style>
  <w:style w:type="paragraph" w:styleId="para11">
    <w:name w:val="heading 1"/>
    <w:qFormat/>
    <w:next w:val="para0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</w:rPr>
  </w:style>
  <w:style w:type="paragraph" w:styleId="para12" w:customStyle="1">
    <w:name w:val="Гиперссылка"/>
    <w:qFormat/>
    <w:basedOn w:val="para6"/>
    <w:rPr>
      <w:color w:val="0563c1"/>
      <w:u w:color="auto" w:val="single"/>
    </w:rPr>
  </w:style>
  <w:style w:type="paragraph" w:styleId="para13" w:customStyle="1">
    <w:name w:val="Footnote"/>
    <w:qFormat/>
    <w:basedOn w:val="para0"/>
    <w:rPr>
      <w:rFonts w:ascii="Times New Roman" w:hAnsi="Times New Roman"/>
      <w:sz w:val="20"/>
    </w:rPr>
  </w:style>
  <w:style w:type="paragraph" w:styleId="para14">
    <w:name w:val="toc 1"/>
    <w:qFormat/>
    <w:next w:val="para0"/>
    <w:pPr>
      <w:spacing w:after="160" w:line="264" w:lineRule="auto"/>
    </w:pPr>
    <w:rPr>
      <w:rFonts w:ascii="XO Thames" w:hAnsi="XO Thames"/>
      <w:b/>
      <w:color w:val="000000"/>
      <w:sz w:val="28"/>
    </w:rPr>
  </w:style>
  <w:style w:type="paragraph" w:styleId="para15" w:customStyle="1">
    <w:name w:val="Header and Footer"/>
    <w:qFormat/>
    <w:pPr>
      <w:spacing w:after="160"/>
      <w:jc w:val="both"/>
    </w:pPr>
    <w:rPr>
      <w:rFonts w:ascii="XO Thames" w:hAnsi="XO Thames"/>
      <w:color w:val="000000"/>
    </w:rPr>
  </w:style>
  <w:style w:type="paragraph" w:styleId="para16">
    <w:name w:val="toc 9"/>
    <w:qFormat/>
    <w:next w:val="para0"/>
    <w:pPr>
      <w:ind w:left="16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17" w:customStyle="1">
    <w:name w:val="Unresolved Mention"/>
    <w:qFormat/>
    <w:basedOn w:val="para6"/>
    <w:rPr>
      <w:color w:val="605e5c"/>
      <w:shd w:val="clear" w:fill="e1dfdd"/>
    </w:rPr>
  </w:style>
  <w:style w:type="paragraph" w:styleId="para18">
    <w:name w:val="toc 8"/>
    <w:qFormat/>
    <w:next w:val="para0"/>
    <w:pPr>
      <w:ind w:left="14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19" w:customStyle="1">
    <w:name w:val="Default"/>
    <w:qFormat/>
    <w:rPr>
      <w:rFonts w:ascii="Times New Roman" w:hAnsi="Times New Roman"/>
      <w:color w:val="000000"/>
      <w:sz w:val="24"/>
    </w:rPr>
  </w:style>
  <w:style w:type="paragraph" w:styleId="para20">
    <w:name w:val="toc 5"/>
    <w:qFormat/>
    <w:next w:val="para0"/>
    <w:pPr>
      <w:ind w:left="8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21">
    <w:name w:val="List Paragraph"/>
    <w:qFormat/>
    <w:basedOn w:val="para0"/>
    <w:pPr>
      <w:ind w:left="720"/>
      <w:contextualSpacing/>
    </w:pPr>
  </w:style>
  <w:style w:type="paragraph" w:styleId="para22">
    <w:name w:val="Subtitle"/>
    <w:qFormat/>
    <w:next w:val="para0"/>
    <w:pPr>
      <w:spacing w:after="160" w:line="264" w:lineRule="auto"/>
      <w:jc w:val="both"/>
    </w:pPr>
    <w:rPr>
      <w:rFonts w:ascii="XO Thames" w:hAnsi="XO Thames"/>
      <w:i/>
      <w:color w:val="000000"/>
      <w:sz w:val="24"/>
    </w:rPr>
  </w:style>
  <w:style w:type="paragraph" w:styleId="para23">
    <w:name w:val="Title"/>
    <w:qFormat/>
    <w:next w:val="para0"/>
    <w:pPr>
      <w:spacing w:before="567" w:after="567" w:line="264" w:lineRule="auto"/>
      <w:jc w:val="center"/>
    </w:pPr>
    <w:rPr>
      <w:rFonts w:ascii="XO Thames" w:hAnsi="XO Thames"/>
      <w:b/>
      <w:caps/>
      <w:color w:val="000000"/>
      <w:sz w:val="40"/>
    </w:rPr>
  </w:style>
  <w:style w:type="paragraph" w:styleId="para24">
    <w:name w:val="heading 4"/>
    <w:qFormat/>
    <w:next w:val="para0"/>
    <w:pPr>
      <w:spacing w:before="120" w:after="120" w:line="264" w:lineRule="auto"/>
      <w:jc w:val="both"/>
      <w:outlineLvl w:val="3"/>
    </w:pPr>
    <w:rPr>
      <w:rFonts w:ascii="XO Thames" w:hAnsi="XO Thames"/>
      <w:b/>
      <w:color w:val="000000"/>
      <w:sz w:val="24"/>
    </w:rPr>
  </w:style>
  <w:style w:type="paragraph" w:styleId="para25">
    <w:name w:val="heading 2"/>
    <w:qFormat/>
    <w:next w:val="para0"/>
    <w:pPr>
      <w:spacing w:before="120" w:after="120" w:line="264" w:lineRule="auto"/>
      <w:jc w:val="both"/>
      <w:outlineLvl w:val="1"/>
    </w:pPr>
    <w:rPr>
      <w:rFonts w:ascii="XO Thames" w:hAnsi="XO Thames"/>
      <w:b/>
      <w:color w:val="000000"/>
      <w:sz w:val="28"/>
    </w:rPr>
  </w:style>
  <w:style w:type="paragraph" w:styleId="para26">
    <w:name w:val="No Spacing"/>
    <w:qFormat/>
    <w:rPr>
      <w:rFonts w:ascii="Calibri" w:hAnsi="Calibri"/>
      <w:color w:val="000000"/>
      <w:sz w:val="22"/>
    </w:rPr>
  </w:style>
  <w:style w:type="character" w:styleId="char0" w:default="1">
    <w:name w:val="Default Paragraph Font"/>
  </w:style>
  <w:style w:type="character" w:styleId="char1" w:customStyle="1">
    <w:name w:val="Оглавление 2"/>
    <w:rPr>
      <w:rFonts w:ascii="XO Thames" w:hAnsi="XO Thames"/>
      <w:sz w:val="28"/>
    </w:rPr>
  </w:style>
  <w:style w:type="character" w:styleId="char2" w:customStyle="1">
    <w:name w:val="Оглавление 4"/>
    <w:rPr>
      <w:rFonts w:ascii="XO Thames" w:hAnsi="XO Thames"/>
      <w:sz w:val="28"/>
    </w:rPr>
  </w:style>
  <w:style w:type="character" w:styleId="char3" w:customStyle="1">
    <w:name w:val="Оглавление 6"/>
    <w:rPr>
      <w:rFonts w:ascii="XO Thames" w:hAnsi="XO Thames"/>
      <w:sz w:val="28"/>
    </w:rPr>
  </w:style>
  <w:style w:type="character" w:styleId="char4" w:customStyle="1">
    <w:name w:val="Оглавление 7"/>
    <w:rPr>
      <w:rFonts w:ascii="XO Thames" w:hAnsi="XO Thames"/>
      <w:sz w:val="28"/>
    </w:rPr>
  </w:style>
  <w:style w:type="character" w:styleId="char5" w:customStyle="1">
    <w:name w:val="Заголовок 3"/>
    <w:rPr>
      <w:rFonts w:ascii="XO Thames" w:hAnsi="XO Thames"/>
      <w:b/>
      <w:sz w:val="26"/>
    </w:rPr>
  </w:style>
  <w:style w:type="character" w:styleId="char6" w:customStyle="1">
    <w:name w:val="Текст выноски"/>
    <w:basedOnNormal/>
    <w:rPr>
      <w:rFonts w:ascii="Segoe UI" w:hAnsi="Segoe UI"/>
      <w:sz w:val="18"/>
    </w:rPr>
  </w:style>
  <w:style w:type="character" w:styleId="char7" w:customStyle="1">
    <w:name w:val="Оглавление 3"/>
    <w:rPr>
      <w:rFonts w:ascii="XO Thames" w:hAnsi="XO Thames"/>
      <w:sz w:val="28"/>
    </w:rPr>
  </w:style>
  <w:style w:type="character" w:styleId="char8">
    <w:name w:val="Footnote Reference"/>
    <w:rPr>
      <w:vertAlign w:val="superscript"/>
    </w:rPr>
  </w:style>
  <w:style w:type="character" w:styleId="char9" w:customStyle="1">
    <w:name w:val="Заголовок 5"/>
    <w:rPr>
      <w:rFonts w:ascii="XO Thames" w:hAnsi="XO Thames"/>
      <w:b/>
      <w:sz w:val="22"/>
    </w:rPr>
  </w:style>
  <w:style w:type="character" w:styleId="char10" w:customStyle="1">
    <w:name w:val="Заголовок 1"/>
    <w:rPr>
      <w:rFonts w:ascii="XO Thames" w:hAnsi="XO Thames"/>
      <w:b/>
      <w:sz w:val="32"/>
    </w:rPr>
  </w:style>
  <w:style w:type="character" w:styleId="char11">
    <w:name w:val="Hyperlink"/>
    <w:basedOn w:val="char0"/>
    <w:rPr>
      <w:color w:val="0563c1"/>
      <w:u w:color="auto" w:val="single"/>
    </w:rPr>
  </w:style>
  <w:style w:type="character" w:styleId="char12" w:customStyle="1">
    <w:name w:val="Footnote"/>
    <w:basedOnNormal/>
    <w:rPr>
      <w:rFonts w:ascii="Times New Roman" w:hAnsi="Times New Roman"/>
      <w:sz w:val="20"/>
    </w:rPr>
  </w:style>
  <w:style w:type="character" w:styleId="char13" w:customStyle="1">
    <w:name w:val="Оглавление 1"/>
    <w:rPr>
      <w:rFonts w:ascii="XO Thames" w:hAnsi="XO Thames"/>
      <w:b/>
      <w:sz w:val="28"/>
    </w:rPr>
  </w:style>
  <w:style w:type="character" w:styleId="char14" w:customStyle="1">
    <w:name w:val="Header and Footer"/>
    <w:rPr>
      <w:rFonts w:ascii="XO Thames" w:hAnsi="XO Thames"/>
      <w:sz w:val="20"/>
    </w:rPr>
  </w:style>
  <w:style w:type="character" w:styleId="char15" w:customStyle="1">
    <w:name w:val="Оглавление 9"/>
    <w:rPr>
      <w:rFonts w:ascii="XO Thames" w:hAnsi="XO Thames"/>
      <w:sz w:val="28"/>
    </w:rPr>
  </w:style>
  <w:style w:type="character" w:styleId="char16" w:customStyle="1">
    <w:name w:val="Unresolved Mention"/>
    <w:basedOn w:val="char0"/>
    <w:rPr>
      <w:color w:val="605e5c"/>
      <w:shd w:val="clear" w:fill="e1dfdd"/>
    </w:rPr>
  </w:style>
  <w:style w:type="character" w:styleId="char17" w:customStyle="1">
    <w:name w:val="Оглавление 8"/>
    <w:rPr>
      <w:rFonts w:ascii="XO Thames" w:hAnsi="XO Thames"/>
      <w:sz w:val="28"/>
    </w:rPr>
  </w:style>
  <w:style w:type="character" w:styleId="char18" w:customStyle="1">
    <w:name w:val="Default"/>
    <w:rPr>
      <w:rFonts w:ascii="Times New Roman" w:hAnsi="Times New Roman"/>
      <w:color w:val="000000"/>
      <w:sz w:val="24"/>
    </w:rPr>
  </w:style>
  <w:style w:type="character" w:styleId="char19" w:customStyle="1">
    <w:name w:val="Оглавление 5"/>
    <w:rPr>
      <w:rFonts w:ascii="XO Thames" w:hAnsi="XO Thames"/>
      <w:sz w:val="28"/>
    </w:rPr>
  </w:style>
  <w:style w:type="character" w:styleId="char20" w:customStyle="1">
    <w:name w:val="Абзац списка"/>
    <w:basedOnNormal/>
  </w:style>
  <w:style w:type="character" w:styleId="char21" w:customStyle="1">
    <w:name w:val="Подзаголовок"/>
    <w:rPr>
      <w:rFonts w:ascii="XO Thames" w:hAnsi="XO Thames"/>
      <w:i/>
      <w:sz w:val="24"/>
    </w:rPr>
  </w:style>
  <w:style w:type="character" w:styleId="char22" w:customStyle="1">
    <w:name w:val="Название"/>
    <w:rPr>
      <w:rFonts w:ascii="XO Thames" w:hAnsi="XO Thames"/>
      <w:b/>
      <w:caps/>
      <w:sz w:val="40"/>
    </w:rPr>
  </w:style>
  <w:style w:type="character" w:styleId="char23" w:customStyle="1">
    <w:name w:val="Заголовок 4"/>
    <w:rPr>
      <w:rFonts w:ascii="XO Thames" w:hAnsi="XO Thames"/>
      <w:b/>
      <w:sz w:val="24"/>
    </w:rPr>
  </w:style>
  <w:style w:type="character" w:styleId="char24" w:customStyle="1">
    <w:name w:val="Заголовок 2"/>
    <w:rPr>
      <w:rFonts w:ascii="XO Thames" w:hAnsi="XO Thames"/>
      <w:b/>
      <w:sz w:val="28"/>
    </w:rPr>
  </w:style>
  <w:style w:type="character" w:styleId="char25" w:customStyle="1">
    <w:name w:val="Без интервала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5="http://schemas.microsoft.com/office/word/2012/wordml" mc:Ignorable="w14 wp14 w15">
  <w:docDefaults>
    <w:rPrDefault>
      <w:rPr>
        <w:rFonts w:ascii="Arial" w:hAnsi="Arial" w:eastAsia="Basic Roman" w:cs="Basic Roman"/>
        <w:color w:val="000000"/>
        <w:sz w:val="24"/>
        <w:szCs w:val="20"/>
        <w:lang w:val="ru-ru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HTML Top of Form"/>
    <w:lsdException w:name="HTML Bottom of Form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No List"/>
    <w:lsdException w:name="Outline List 1"/>
    <w:lsdException w:name="Outline List 2"/>
    <w:lsdException w:name="Outline List 3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59" w:unhideWhenUsed="0"/>
    <w:lsdException w:name="Table Theme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<w:lsdException w:name="Plain Table 1" w:semiHidden="0" w:uiPriority="41" w:unhideWhenUsed="0"/>
    <w:lsdException w:name="Plain Table 2" w:semiHidden="0" w:uiPriority="42" w:unhideWhenUsed="0"/>
    <w:lsdException w:name="Plain Table 3" w:semiHidden="0" w:uiPriority="43" w:unhideWhenUsed="0"/>
    <w:lsdException w:name="Plain Table 4" w:semiHidden="0" w:uiPriority="44" w:unhideWhenUsed="0"/>
    <w:lsdException w:name="Plain Table 5" w:semiHidden="0" w:uiPriority="45" w:unhideWhenUsed="0"/>
    <w:lsdException w:name="Grid Table Light" w:semiHidden="0" w:uiPriority="40" w:unhideWhenUsed="0"/>
    <w:lsdException w:name="Grid Table 1 Light" w:semiHidden="0" w:uiPriority="46" w:unhideWhenUsed="0"/>
    <w:lsdException w:name="Grid Table 2" w:semiHidden="0" w:uiPriority="47" w:unhideWhenUsed="0"/>
    <w:lsdException w:name="Grid Table 3" w:semiHidden="0" w:uiPriority="48" w:unhideWhenUsed="0"/>
    <w:lsdException w:name="Grid Table 4" w:semiHidden="0" w:uiPriority="49" w:unhideWhenUsed="0"/>
    <w:lsdException w:name="Grid Table 5 Dark" w:semiHidden="0" w:uiPriority="50" w:unhideWhenUsed="0"/>
    <w:lsdException w:name="Grid Table 6 Colorful" w:semiHidden="0" w:uiPriority="51" w:unhideWhenUsed="0"/>
    <w:lsdException w:name="Grid Table 7 Colorful" w:semiHidden="0" w:uiPriority="52" w:unhideWhenUsed="0"/>
    <w:lsdException w:name="Grid Table 1 Light Accent 1" w:semiHidden="0" w:uiPriority="46" w:unhideWhenUsed="0"/>
    <w:lsdException w:name="Grid Table 2 Accent 1" w:semiHidden="0" w:uiPriority="47" w:unhideWhenUsed="0"/>
    <w:lsdException w:name="Grid Table 3 Accent 1" w:semiHidden="0" w:uiPriority="48" w:unhideWhenUsed="0"/>
    <w:lsdException w:name="Grid Table 4 Accent 1" w:semiHidden="0" w:uiPriority="49" w:unhideWhenUsed="0"/>
    <w:lsdException w:name="Grid Table 5 Dark Accent 1" w:semiHidden="0" w:uiPriority="50" w:unhideWhenUsed="0"/>
    <w:lsdException w:name="Grid Table 6 Colorful Accent 1" w:semiHidden="0" w:uiPriority="51" w:unhideWhenUsed="0"/>
    <w:lsdException w:name="Grid Table 7 Colorful Accent 1" w:semiHidden="0" w:uiPriority="52" w:unhideWhenUsed="0"/>
    <w:lsdException w:name="Grid Table 1 Light Accent 2" w:semiHidden="0" w:uiPriority="46" w:unhideWhenUsed="0"/>
    <w:lsdException w:name="Grid Table 2 Accent 2" w:semiHidden="0" w:uiPriority="47" w:unhideWhenUsed="0"/>
    <w:lsdException w:name="Grid Table 3 Accent 2" w:semiHidden="0" w:uiPriority="48" w:unhideWhenUsed="0"/>
    <w:lsdException w:name="Grid Table 4 Accent 2" w:semiHidden="0" w:uiPriority="49" w:unhideWhenUsed="0"/>
    <w:lsdException w:name="Grid Table 5 Dark Accent 2" w:semiHidden="0" w:uiPriority="50" w:unhideWhenUsed="0"/>
    <w:lsdException w:name="Grid Table 6 Colorful Accent 2" w:semiHidden="0" w:uiPriority="51" w:unhideWhenUsed="0"/>
    <w:lsdException w:name="Grid Table 7 Colorful Accent 2" w:semiHidden="0" w:uiPriority="52" w:unhideWhenUsed="0"/>
    <w:lsdException w:name="Grid Table 1 Light Accent 3" w:semiHidden="0" w:uiPriority="46" w:unhideWhenUsed="0"/>
    <w:lsdException w:name="Grid Table 2 Accent 3" w:semiHidden="0" w:uiPriority="47" w:unhideWhenUsed="0"/>
    <w:lsdException w:name="Grid Table 3 Accent 3" w:semiHidden="0" w:uiPriority="48" w:unhideWhenUsed="0"/>
    <w:lsdException w:name="Grid Table 4 Accent 3" w:semiHidden="0" w:uiPriority="49" w:unhideWhenUsed="0"/>
    <w:lsdException w:name="Grid Table 5 Dark Accent 3" w:semiHidden="0" w:uiPriority="50" w:unhideWhenUsed="0"/>
    <w:lsdException w:name="Grid Table 6 Colorful Accent 3" w:semiHidden="0" w:uiPriority="51" w:unhideWhenUsed="0"/>
    <w:lsdException w:name="Grid Table 7 Colorful Accent 3" w:semiHidden="0" w:uiPriority="52" w:unhideWhenUsed="0"/>
    <w:lsdException w:name="Grid Table 1 Light Accent 4" w:semiHidden="0" w:uiPriority="46" w:unhideWhenUsed="0"/>
    <w:lsdException w:name="Grid Table 2 Accent 4" w:semiHidden="0" w:uiPriority="47" w:unhideWhenUsed="0"/>
    <w:lsdException w:name="Grid Table 3 Accent 4" w:semiHidden="0" w:uiPriority="48" w:unhideWhenUsed="0"/>
    <w:lsdException w:name="Grid Table 4 Accent 4" w:semiHidden="0" w:uiPriority="49" w:unhideWhenUsed="0"/>
    <w:lsdException w:name="Grid Table 5 Dark Accent 4" w:semiHidden="0" w:uiPriority="50" w:unhideWhenUsed="0"/>
    <w:lsdException w:name="Grid Table 6 Colorful Accent 4" w:semiHidden="0" w:uiPriority="51" w:unhideWhenUsed="0"/>
    <w:lsdException w:name="Grid Table 7 Colorful Accent 4" w:semiHidden="0" w:uiPriority="52" w:unhideWhenUsed="0"/>
    <w:lsdException w:name="Grid Table 1 Light Accent 5" w:semiHidden="0" w:uiPriority="46" w:unhideWhenUsed="0"/>
    <w:lsdException w:name="Grid Table 2 Accent 5" w:semiHidden="0" w:uiPriority="47" w:unhideWhenUsed="0"/>
    <w:lsdException w:name="Grid Table 3 Accent 5" w:semiHidden="0" w:uiPriority="48" w:unhideWhenUsed="0"/>
    <w:lsdException w:name="Grid Table 4 Accent 5" w:semiHidden="0" w:uiPriority="49" w:unhideWhenUsed="0"/>
    <w:lsdException w:name="Grid Table 5 Dark Accent 5" w:semiHidden="0" w:uiPriority="50" w:unhideWhenUsed="0"/>
    <w:lsdException w:name="Grid Table 6 Colorful Accent 5" w:semiHidden="0" w:uiPriority="51" w:unhideWhenUsed="0"/>
    <w:lsdException w:name="Grid Table 7 Colorful Accent 5" w:semiHidden="0" w:uiPriority="52" w:unhideWhenUsed="0"/>
    <w:lsdException w:name="Grid Table 1 Light Accent 6" w:semiHidden="0" w:uiPriority="46" w:unhideWhenUsed="0"/>
    <w:lsdException w:name="Grid Table 2 Accent 6" w:semiHidden="0" w:uiPriority="47" w:unhideWhenUsed="0"/>
    <w:lsdException w:name="Grid Table 3 Accent 6" w:semiHidden="0" w:uiPriority="48" w:unhideWhenUsed="0"/>
    <w:lsdException w:name="Grid Table 4 Accent 6" w:semiHidden="0" w:uiPriority="49" w:unhideWhenUsed="0"/>
    <w:lsdException w:name="Grid Table 5 Dark Accent 6" w:semiHidden="0" w:uiPriority="50" w:unhideWhenUsed="0"/>
    <w:lsdException w:name="Grid Table 6 Colorful Accent 6" w:semiHidden="0" w:uiPriority="51" w:unhideWhenUsed="0"/>
    <w:lsdException w:name="Grid Table 7 Colorful Accent 6" w:semiHidden="0" w:uiPriority="52" w:unhideWhenUsed="0"/>
    <w:lsdException w:name="List Table 1 Light" w:semiHidden="0" w:uiPriority="46" w:unhideWhenUsed="0"/>
    <w:lsdException w:name="List Table 2" w:semiHidden="0" w:uiPriority="47" w:unhideWhenUsed="0"/>
    <w:lsdException w:name="List Table 3" w:semiHidden="0" w:uiPriority="48" w:unhideWhenUsed="0"/>
    <w:lsdException w:name="List Table 4" w:semiHidden="0" w:uiPriority="49" w:unhideWhenUsed="0"/>
    <w:lsdException w:name="List Table 5 Dark" w:semiHidden="0" w:uiPriority="50" w:unhideWhenUsed="0"/>
    <w:lsdException w:name="List Table 6 Colorful" w:semiHidden="0" w:uiPriority="51" w:unhideWhenUsed="0"/>
    <w:lsdException w:name="List Table 7 Colorful" w:semiHidden="0" w:uiPriority="52" w:unhideWhenUsed="0"/>
    <w:lsdException w:name="List Table 1 Light Accent 1" w:semiHidden="0" w:uiPriority="46" w:unhideWhenUsed="0"/>
    <w:lsdException w:name="List Table 2 Accent 1" w:semiHidden="0" w:uiPriority="47" w:unhideWhenUsed="0"/>
    <w:lsdException w:name="List Table 3 Accent 1" w:semiHidden="0" w:uiPriority="48" w:unhideWhenUsed="0"/>
    <w:lsdException w:name="List Table 4 Accent 1" w:semiHidden="0" w:uiPriority="49" w:unhideWhenUsed="0"/>
    <w:lsdException w:name="List Table 5 Dark Accent 1" w:semiHidden="0" w:uiPriority="50" w:unhideWhenUsed="0"/>
    <w:lsdException w:name="List Table 6 Colorful Accent 1" w:semiHidden="0" w:uiPriority="51" w:unhideWhenUsed="0"/>
    <w:lsdException w:name="List Table 7 Colorful Accent 1" w:semiHidden="0" w:uiPriority="52" w:unhideWhenUsed="0"/>
    <w:lsdException w:name="List Table 1 Light Accent 2" w:semiHidden="0" w:uiPriority="46" w:unhideWhenUsed="0"/>
    <w:lsdException w:name="List Table 2 Accent 2" w:semiHidden="0" w:uiPriority="47" w:unhideWhenUsed="0"/>
    <w:lsdException w:name="List Table 3 Accent 2" w:semiHidden="0" w:uiPriority="48" w:unhideWhenUsed="0"/>
    <w:lsdException w:name="List Table 4 Accent 2" w:semiHidden="0" w:uiPriority="49" w:unhideWhenUsed="0"/>
    <w:lsdException w:name="List Table 5 Dark Accent 2" w:semiHidden="0" w:uiPriority="50" w:unhideWhenUsed="0"/>
    <w:lsdException w:name="List Table 6 Colorful Accent 2" w:semiHidden="0" w:uiPriority="51" w:unhideWhenUsed="0"/>
    <w:lsdException w:name="List Table 7 Colorful Accent 2" w:semiHidden="0" w:uiPriority="52" w:unhideWhenUsed="0"/>
    <w:lsdException w:name="List Table 1 Light Accent 3" w:semiHidden="0" w:uiPriority="46" w:unhideWhenUsed="0"/>
    <w:lsdException w:name="List Table 2 Accent 3" w:semiHidden="0" w:uiPriority="47" w:unhideWhenUsed="0"/>
    <w:lsdException w:name="List Table 3 Accent 3" w:semiHidden="0" w:uiPriority="48" w:unhideWhenUsed="0"/>
    <w:lsdException w:name="List Table 4 Accent 3" w:semiHidden="0" w:uiPriority="49" w:unhideWhenUsed="0"/>
    <w:lsdException w:name="List Table 5 Dark Accent 3" w:semiHidden="0" w:uiPriority="50" w:unhideWhenUsed="0"/>
    <w:lsdException w:name="List Table 6 Colorful Accent 3" w:semiHidden="0" w:uiPriority="51" w:unhideWhenUsed="0"/>
    <w:lsdException w:name="List Table 7 Colorful Accent 3" w:semiHidden="0" w:uiPriority="52" w:unhideWhenUsed="0"/>
    <w:lsdException w:name="List Table 1 Light Accent 4" w:semiHidden="0" w:uiPriority="46" w:unhideWhenUsed="0"/>
    <w:lsdException w:name="List Table 2 Accent 4" w:semiHidden="0" w:uiPriority="47" w:unhideWhenUsed="0"/>
    <w:lsdException w:name="List Table 3 Accent 4" w:semiHidden="0" w:uiPriority="48" w:unhideWhenUsed="0"/>
    <w:lsdException w:name="List Table 4 Accent 4" w:semiHidden="0" w:uiPriority="49" w:unhideWhenUsed="0"/>
    <w:lsdException w:name="List Table 5 Dark Accent 4" w:semiHidden="0" w:uiPriority="50" w:unhideWhenUsed="0"/>
    <w:lsdException w:name="List Table 6 Colorful Accent 4" w:semiHidden="0" w:uiPriority="51" w:unhideWhenUsed="0"/>
    <w:lsdException w:name="List Table 7 Colorful Accent 4" w:semiHidden="0" w:uiPriority="52" w:unhideWhenUsed="0"/>
    <w:lsdException w:name="List Table 1 Light Accent 5" w:semiHidden="0" w:uiPriority="46" w:unhideWhenUsed="0"/>
    <w:lsdException w:name="List Table 2 Accent 5" w:semiHidden="0" w:uiPriority="47" w:unhideWhenUsed="0"/>
    <w:lsdException w:name="List Table 3 Accent 5" w:semiHidden="0" w:uiPriority="48" w:unhideWhenUsed="0"/>
    <w:lsdException w:name="List Table 4 Accent 5" w:semiHidden="0" w:uiPriority="49" w:unhideWhenUsed="0"/>
    <w:lsdException w:name="List Table 5 Dark Accent 5" w:semiHidden="0" w:uiPriority="50" w:unhideWhenUsed="0"/>
    <w:lsdException w:name="List Table 6 Colorful Accent 5" w:semiHidden="0" w:uiPriority="51" w:unhideWhenUsed="0"/>
    <w:lsdException w:name="List Table 7 Colorful Accent 5" w:semiHidden="0" w:uiPriority="52" w:unhideWhenUsed="0"/>
    <w:lsdException w:name="List Table 1 Light Accent 6" w:semiHidden="0" w:uiPriority="46" w:unhideWhenUsed="0"/>
    <w:lsdException w:name="List Table 2 Accent 6" w:semiHidden="0" w:uiPriority="47" w:unhideWhenUsed="0"/>
    <w:lsdException w:name="List Table 3 Accent 6" w:semiHidden="0" w:uiPriority="48" w:unhideWhenUsed="0"/>
    <w:lsdException w:name="List Table 4 Accent 6" w:semiHidden="0" w:uiPriority="49" w:unhideWhenUsed="0"/>
    <w:lsdException w:name="List Table 5 Dark Accent 6" w:semiHidden="0" w:uiPriority="50" w:unhideWhenUsed="0"/>
    <w:lsdException w:name="List Table 6 Colorful Accent 6" w:semiHidden="0" w:uiPriority="51" w:unhideWhenUsed="0"/>
    <w:lsdException w:name="List Table 7 Colorful Accent 6" w:semiHidden="0" w:uiPriority="52" w:unhideWhenUsed="0"/>
  </w:latentStyles>
  <w:style w:type="paragraph" w:styleId="para0" w:default="1">
    <w:name w:val="Normal"/>
    <w:qFormat/>
  </w:style>
  <w:style w:type="paragraph" w:styleId="para1">
    <w:name w:val="toc 2"/>
    <w:qFormat/>
    <w:next w:val="para0"/>
    <w:pPr>
      <w:ind w:left="2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2">
    <w:name w:val="toc 4"/>
    <w:qFormat/>
    <w:next w:val="para0"/>
    <w:pPr>
      <w:ind w:left="6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3">
    <w:name w:val="toc 6"/>
    <w:qFormat/>
    <w:next w:val="para0"/>
    <w:pPr>
      <w:ind w:left="10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4">
    <w:name w:val="toc 7"/>
    <w:qFormat/>
    <w:next w:val="para0"/>
    <w:pPr>
      <w:ind w:left="12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5">
    <w:name w:val="heading 3"/>
    <w:qFormat/>
    <w:next w:val="para0"/>
    <w:pPr>
      <w:spacing w:before="120" w:after="120" w:line="264" w:lineRule="auto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para6" w:customStyle="1">
    <w:name w:val="Основной шрифт абзаца"/>
    <w:qFormat/>
    <w:pPr>
      <w:spacing w:after="160" w:line="264" w:lineRule="auto"/>
    </w:pPr>
    <w:rPr>
      <w:rFonts w:ascii="Calibri" w:hAnsi="Calibri"/>
      <w:color w:val="000000"/>
      <w:sz w:val="22"/>
    </w:rPr>
  </w:style>
  <w:style w:type="paragraph" w:styleId="para7">
    <w:name w:val="Balloon Text"/>
    <w:qFormat/>
    <w:basedOn w:val="para0"/>
    <w:rPr>
      <w:rFonts w:ascii="Segoe UI" w:hAnsi="Segoe UI"/>
      <w:sz w:val="18"/>
    </w:rPr>
  </w:style>
  <w:style w:type="paragraph" w:styleId="para8">
    <w:name w:val="toc 3"/>
    <w:qFormat/>
    <w:next w:val="para0"/>
    <w:pPr>
      <w:ind w:left="4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9" w:customStyle="1">
    <w:name w:val="Знак сноски"/>
    <w:qFormat/>
    <w:pPr>
      <w:spacing w:after="160" w:line="264" w:lineRule="auto"/>
    </w:pPr>
    <w:rPr>
      <w:rFonts w:ascii="Calibri" w:hAnsi="Calibri"/>
      <w:color w:val="000000"/>
      <w:sz w:val="22"/>
      <w:vertAlign w:val="superscript"/>
    </w:rPr>
  </w:style>
  <w:style w:type="paragraph" w:styleId="para10">
    <w:name w:val="heading 5"/>
    <w:qFormat/>
    <w:next w:val="para0"/>
    <w:pPr>
      <w:spacing w:before="120" w:after="120" w:line="264" w:lineRule="auto"/>
      <w:jc w:val="both"/>
      <w:outlineLvl w:val="4"/>
    </w:pPr>
    <w:rPr>
      <w:rFonts w:ascii="XO Thames" w:hAnsi="XO Thames"/>
      <w:b/>
      <w:color w:val="000000"/>
      <w:sz w:val="22"/>
    </w:rPr>
  </w:style>
  <w:style w:type="paragraph" w:styleId="para11">
    <w:name w:val="heading 1"/>
    <w:qFormat/>
    <w:next w:val="para0"/>
    <w:pPr>
      <w:spacing w:before="120" w:after="120" w:line="264" w:lineRule="auto"/>
      <w:jc w:val="both"/>
      <w:outlineLvl w:val="0"/>
    </w:pPr>
    <w:rPr>
      <w:rFonts w:ascii="XO Thames" w:hAnsi="XO Thames"/>
      <w:b/>
      <w:color w:val="000000"/>
      <w:sz w:val="32"/>
    </w:rPr>
  </w:style>
  <w:style w:type="paragraph" w:styleId="para12" w:customStyle="1">
    <w:name w:val="Гиперссылка"/>
    <w:qFormat/>
    <w:basedOn w:val="para6"/>
    <w:rPr>
      <w:color w:val="0563c1"/>
      <w:u w:color="auto" w:val="single"/>
    </w:rPr>
  </w:style>
  <w:style w:type="paragraph" w:styleId="para13" w:customStyle="1">
    <w:name w:val="Footnote"/>
    <w:qFormat/>
    <w:basedOn w:val="para0"/>
    <w:rPr>
      <w:rFonts w:ascii="Times New Roman" w:hAnsi="Times New Roman"/>
      <w:sz w:val="20"/>
    </w:rPr>
  </w:style>
  <w:style w:type="paragraph" w:styleId="para14">
    <w:name w:val="toc 1"/>
    <w:qFormat/>
    <w:next w:val="para0"/>
    <w:pPr>
      <w:spacing w:after="160" w:line="264" w:lineRule="auto"/>
    </w:pPr>
    <w:rPr>
      <w:rFonts w:ascii="XO Thames" w:hAnsi="XO Thames"/>
      <w:b/>
      <w:color w:val="000000"/>
      <w:sz w:val="28"/>
    </w:rPr>
  </w:style>
  <w:style w:type="paragraph" w:styleId="para15" w:customStyle="1">
    <w:name w:val="Header and Footer"/>
    <w:qFormat/>
    <w:pPr>
      <w:spacing w:after="160"/>
      <w:jc w:val="both"/>
    </w:pPr>
    <w:rPr>
      <w:rFonts w:ascii="XO Thames" w:hAnsi="XO Thames"/>
      <w:color w:val="000000"/>
    </w:rPr>
  </w:style>
  <w:style w:type="paragraph" w:styleId="para16">
    <w:name w:val="toc 9"/>
    <w:qFormat/>
    <w:next w:val="para0"/>
    <w:pPr>
      <w:ind w:left="16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17" w:customStyle="1">
    <w:name w:val="Unresolved Mention"/>
    <w:qFormat/>
    <w:basedOn w:val="para6"/>
    <w:rPr>
      <w:color w:val="605e5c"/>
      <w:shd w:val="clear" w:fill="e1dfdd"/>
    </w:rPr>
  </w:style>
  <w:style w:type="paragraph" w:styleId="para18">
    <w:name w:val="toc 8"/>
    <w:qFormat/>
    <w:next w:val="para0"/>
    <w:pPr>
      <w:ind w:left="14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19" w:customStyle="1">
    <w:name w:val="Default"/>
    <w:qFormat/>
    <w:rPr>
      <w:rFonts w:ascii="Times New Roman" w:hAnsi="Times New Roman"/>
      <w:color w:val="000000"/>
      <w:sz w:val="24"/>
    </w:rPr>
  </w:style>
  <w:style w:type="paragraph" w:styleId="para20">
    <w:name w:val="toc 5"/>
    <w:qFormat/>
    <w:next w:val="para0"/>
    <w:pPr>
      <w:ind w:left="800"/>
      <w:spacing w:after="160" w:line="264" w:lineRule="auto"/>
    </w:pPr>
    <w:rPr>
      <w:rFonts w:ascii="XO Thames" w:hAnsi="XO Thames"/>
      <w:color w:val="000000"/>
      <w:sz w:val="28"/>
    </w:rPr>
  </w:style>
  <w:style w:type="paragraph" w:styleId="para21">
    <w:name w:val="List Paragraph"/>
    <w:qFormat/>
    <w:basedOn w:val="para0"/>
    <w:pPr>
      <w:ind w:left="720"/>
      <w:contextualSpacing/>
    </w:pPr>
  </w:style>
  <w:style w:type="paragraph" w:styleId="para22">
    <w:name w:val="Subtitle"/>
    <w:qFormat/>
    <w:next w:val="para0"/>
    <w:pPr>
      <w:spacing w:after="160" w:line="264" w:lineRule="auto"/>
      <w:jc w:val="both"/>
    </w:pPr>
    <w:rPr>
      <w:rFonts w:ascii="XO Thames" w:hAnsi="XO Thames"/>
      <w:i/>
      <w:color w:val="000000"/>
      <w:sz w:val="24"/>
    </w:rPr>
  </w:style>
  <w:style w:type="paragraph" w:styleId="para23">
    <w:name w:val="Title"/>
    <w:qFormat/>
    <w:next w:val="para0"/>
    <w:pPr>
      <w:spacing w:before="567" w:after="567" w:line="264" w:lineRule="auto"/>
      <w:jc w:val="center"/>
    </w:pPr>
    <w:rPr>
      <w:rFonts w:ascii="XO Thames" w:hAnsi="XO Thames"/>
      <w:b/>
      <w:caps/>
      <w:color w:val="000000"/>
      <w:sz w:val="40"/>
    </w:rPr>
  </w:style>
  <w:style w:type="paragraph" w:styleId="para24">
    <w:name w:val="heading 4"/>
    <w:qFormat/>
    <w:next w:val="para0"/>
    <w:pPr>
      <w:spacing w:before="120" w:after="120" w:line="264" w:lineRule="auto"/>
      <w:jc w:val="both"/>
      <w:outlineLvl w:val="3"/>
    </w:pPr>
    <w:rPr>
      <w:rFonts w:ascii="XO Thames" w:hAnsi="XO Thames"/>
      <w:b/>
      <w:color w:val="000000"/>
      <w:sz w:val="24"/>
    </w:rPr>
  </w:style>
  <w:style w:type="paragraph" w:styleId="para25">
    <w:name w:val="heading 2"/>
    <w:qFormat/>
    <w:next w:val="para0"/>
    <w:pPr>
      <w:spacing w:before="120" w:after="120" w:line="264" w:lineRule="auto"/>
      <w:jc w:val="both"/>
      <w:outlineLvl w:val="1"/>
    </w:pPr>
    <w:rPr>
      <w:rFonts w:ascii="XO Thames" w:hAnsi="XO Thames"/>
      <w:b/>
      <w:color w:val="000000"/>
      <w:sz w:val="28"/>
    </w:rPr>
  </w:style>
  <w:style w:type="paragraph" w:styleId="para26">
    <w:name w:val="No Spacing"/>
    <w:qFormat/>
    <w:rPr>
      <w:rFonts w:ascii="Calibri" w:hAnsi="Calibri"/>
      <w:color w:val="000000"/>
      <w:sz w:val="22"/>
    </w:rPr>
  </w:style>
  <w:style w:type="character" w:styleId="char0" w:default="1">
    <w:name w:val="Default Paragraph Font"/>
  </w:style>
  <w:style w:type="character" w:styleId="char1" w:customStyle="1">
    <w:name w:val="Оглавление 2"/>
    <w:rPr>
      <w:rFonts w:ascii="XO Thames" w:hAnsi="XO Thames"/>
      <w:sz w:val="28"/>
    </w:rPr>
  </w:style>
  <w:style w:type="character" w:styleId="char2" w:customStyle="1">
    <w:name w:val="Оглавление 4"/>
    <w:rPr>
      <w:rFonts w:ascii="XO Thames" w:hAnsi="XO Thames"/>
      <w:sz w:val="28"/>
    </w:rPr>
  </w:style>
  <w:style w:type="character" w:styleId="char3" w:customStyle="1">
    <w:name w:val="Оглавление 6"/>
    <w:rPr>
      <w:rFonts w:ascii="XO Thames" w:hAnsi="XO Thames"/>
      <w:sz w:val="28"/>
    </w:rPr>
  </w:style>
  <w:style w:type="character" w:styleId="char4" w:customStyle="1">
    <w:name w:val="Оглавление 7"/>
    <w:rPr>
      <w:rFonts w:ascii="XO Thames" w:hAnsi="XO Thames"/>
      <w:sz w:val="28"/>
    </w:rPr>
  </w:style>
  <w:style w:type="character" w:styleId="char5" w:customStyle="1">
    <w:name w:val="Заголовок 3"/>
    <w:rPr>
      <w:rFonts w:ascii="XO Thames" w:hAnsi="XO Thames"/>
      <w:b/>
      <w:sz w:val="26"/>
    </w:rPr>
  </w:style>
  <w:style w:type="character" w:styleId="char6" w:customStyle="1">
    <w:name w:val="Текст выноски"/>
    <w:basedOnNormal/>
    <w:rPr>
      <w:rFonts w:ascii="Segoe UI" w:hAnsi="Segoe UI"/>
      <w:sz w:val="18"/>
    </w:rPr>
  </w:style>
  <w:style w:type="character" w:styleId="char7" w:customStyle="1">
    <w:name w:val="Оглавление 3"/>
    <w:rPr>
      <w:rFonts w:ascii="XO Thames" w:hAnsi="XO Thames"/>
      <w:sz w:val="28"/>
    </w:rPr>
  </w:style>
  <w:style w:type="character" w:styleId="char8">
    <w:name w:val="Footnote Reference"/>
    <w:rPr>
      <w:vertAlign w:val="superscript"/>
    </w:rPr>
  </w:style>
  <w:style w:type="character" w:styleId="char9" w:customStyle="1">
    <w:name w:val="Заголовок 5"/>
    <w:rPr>
      <w:rFonts w:ascii="XO Thames" w:hAnsi="XO Thames"/>
      <w:b/>
      <w:sz w:val="22"/>
    </w:rPr>
  </w:style>
  <w:style w:type="character" w:styleId="char10" w:customStyle="1">
    <w:name w:val="Заголовок 1"/>
    <w:rPr>
      <w:rFonts w:ascii="XO Thames" w:hAnsi="XO Thames"/>
      <w:b/>
      <w:sz w:val="32"/>
    </w:rPr>
  </w:style>
  <w:style w:type="character" w:styleId="char11">
    <w:name w:val="Hyperlink"/>
    <w:basedOn w:val="char0"/>
    <w:rPr>
      <w:color w:val="0563c1"/>
      <w:u w:color="auto" w:val="single"/>
    </w:rPr>
  </w:style>
  <w:style w:type="character" w:styleId="char12" w:customStyle="1">
    <w:name w:val="Footnote"/>
    <w:basedOnNormal/>
    <w:rPr>
      <w:rFonts w:ascii="Times New Roman" w:hAnsi="Times New Roman"/>
      <w:sz w:val="20"/>
    </w:rPr>
  </w:style>
  <w:style w:type="character" w:styleId="char13" w:customStyle="1">
    <w:name w:val="Оглавление 1"/>
    <w:rPr>
      <w:rFonts w:ascii="XO Thames" w:hAnsi="XO Thames"/>
      <w:b/>
      <w:sz w:val="28"/>
    </w:rPr>
  </w:style>
  <w:style w:type="character" w:styleId="char14" w:customStyle="1">
    <w:name w:val="Header and Footer"/>
    <w:rPr>
      <w:rFonts w:ascii="XO Thames" w:hAnsi="XO Thames"/>
      <w:sz w:val="20"/>
    </w:rPr>
  </w:style>
  <w:style w:type="character" w:styleId="char15" w:customStyle="1">
    <w:name w:val="Оглавление 9"/>
    <w:rPr>
      <w:rFonts w:ascii="XO Thames" w:hAnsi="XO Thames"/>
      <w:sz w:val="28"/>
    </w:rPr>
  </w:style>
  <w:style w:type="character" w:styleId="char16" w:customStyle="1">
    <w:name w:val="Unresolved Mention"/>
    <w:basedOn w:val="char0"/>
    <w:rPr>
      <w:color w:val="605e5c"/>
      <w:shd w:val="clear" w:fill="e1dfdd"/>
    </w:rPr>
  </w:style>
  <w:style w:type="character" w:styleId="char17" w:customStyle="1">
    <w:name w:val="Оглавление 8"/>
    <w:rPr>
      <w:rFonts w:ascii="XO Thames" w:hAnsi="XO Thames"/>
      <w:sz w:val="28"/>
    </w:rPr>
  </w:style>
  <w:style w:type="character" w:styleId="char18" w:customStyle="1">
    <w:name w:val="Default"/>
    <w:rPr>
      <w:rFonts w:ascii="Times New Roman" w:hAnsi="Times New Roman"/>
      <w:color w:val="000000"/>
      <w:sz w:val="24"/>
    </w:rPr>
  </w:style>
  <w:style w:type="character" w:styleId="char19" w:customStyle="1">
    <w:name w:val="Оглавление 5"/>
    <w:rPr>
      <w:rFonts w:ascii="XO Thames" w:hAnsi="XO Thames"/>
      <w:sz w:val="28"/>
    </w:rPr>
  </w:style>
  <w:style w:type="character" w:styleId="char20" w:customStyle="1">
    <w:name w:val="Абзац списка"/>
    <w:basedOnNormal/>
  </w:style>
  <w:style w:type="character" w:styleId="char21" w:customStyle="1">
    <w:name w:val="Подзаголовок"/>
    <w:rPr>
      <w:rFonts w:ascii="XO Thames" w:hAnsi="XO Thames"/>
      <w:i/>
      <w:sz w:val="24"/>
    </w:rPr>
  </w:style>
  <w:style w:type="character" w:styleId="char22" w:customStyle="1">
    <w:name w:val="Название"/>
    <w:rPr>
      <w:rFonts w:ascii="XO Thames" w:hAnsi="XO Thames"/>
      <w:b/>
      <w:caps/>
      <w:sz w:val="40"/>
    </w:rPr>
  </w:style>
  <w:style w:type="character" w:styleId="char23" w:customStyle="1">
    <w:name w:val="Заголовок 4"/>
    <w:rPr>
      <w:rFonts w:ascii="XO Thames" w:hAnsi="XO Thames"/>
      <w:b/>
      <w:sz w:val="24"/>
    </w:rPr>
  </w:style>
  <w:style w:type="character" w:styleId="char24" w:customStyle="1">
    <w:name w:val="Заголовок 2"/>
    <w:rPr>
      <w:rFonts w:ascii="XO Thames" w:hAnsi="XO Thames"/>
      <w:b/>
      <w:sz w:val="28"/>
    </w:rPr>
  </w:style>
  <w:style w:type="character" w:styleId="char25" w:customStyle="1">
    <w:name w:val="Без интервала"/>
  </w:style>
  <w:style w:type="table" w:default="1" w:styleId="TableNormal">
    <w:name w:val="Обычная таблица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">
    <w:name w:val="Normal Table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NormalTable"/>
    <w:uiPriority w:val="59"/>
    <w:pPr>
      <w:spacing w:after="0" w:line="240" w:lineRule="auto"/>
    </w:pPr>
    <w:tblPr>
      <w:tblBorders>
        <w:top w:val="single" w:sz="4" w:space="0" w:color="000000" tmln="10, 0, 0, 0, 0"/>
        <w:left w:val="single" w:sz="4" w:space="0" w:color="000000" tmln="10, 0, 0, 0, 0"/>
        <w:bottom w:val="single" w:sz="4" w:space="0" w:color="000000" tmln="10, 0, 0, 0, 0"/>
        <w:right w:val="single" w:sz="4" w:space="0" w:color="000000" tmln="10, 0, 0, 0, 0"/>
        <w:insideH w:val="single" w:sz="4" w:space="0" w:color="000000" tmln="10, 0, 0, 0, 0"/>
        <w:insideV w:val="single" w:sz="4" w:space="0" w:color="000000" tmln="10, 0, 0, 0, 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 ?>
<Relationships xmlns="http://schemas.openxmlformats.org/package/2006/relationships"><Relationship Id="rId1" Type="http://schemas.openxmlformats.org/officeDocument/2006/relationships/webSettings" Target="webSettings.xml"/><Relationship Id="rId2" Type="http://schemas.openxmlformats.org/officeDocument/2006/relationships/settings" Target="settings.xml"/><Relationship Id="rId3" Type="http://schemas.openxmlformats.org/officeDocument/2006/relationships/theme" Target="theme/theme1.xml"/><Relationship Id="rId4" Type="http://schemas.openxmlformats.org/officeDocument/2006/relationships/fontTable" Target="fontTable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footnotes" Target="footnotes.xml"/><Relationship Id="rId8" Type="http://schemas.openxmlformats.org/officeDocument/2006/relationships/hyperlink" Target="mailto:upp@anzhero.ru" TargetMode="External"/><Relationship Id="rId9" Type="http://schemas.openxmlformats.org/officeDocument/2006/relationships/hyperlink" Target="mailto:promotdel@anzhero.ru" TargetMode="Externa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FFFFFF"/>
      </a:dk1>
      <a:lt1>
        <a:sysClr val="window" lastClr="00000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Basic Roman"/>
        <a:cs typeface="Basic Roman"/>
      </a:majorFont>
      <a:minorFont>
        <a:latin typeface="Arial"/>
        <a:ea typeface="Basic Roman"/>
        <a:cs typeface="Basic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TextMaker free rev.1216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2025-10-14T08:43:50Z</dcterms:created>
  <dcterms:modified xsi:type="dcterms:W3CDTF">2025-10-14T08:44:32Z</dcterms:modified>
</cp:coreProperties>
</file>